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от 20 марта 1883 года,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пересмотренная</w:t>
      </w:r>
      <w:r/>
    </w:p>
    <w:p>
      <w:pPr>
        <w:ind w:left="0" w:right="0" w:firstLine="0"/>
        <w:jc w:val="center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Брюсселе 14 декабря 1900 г., в Вашингтоне 2 июня 1911 г., в Гааге 6 ноября 1925 г., в Лондоне 2 июня 1934 г., в Лиссабоне 31 октября 1958 г.</w:t>
        <w:br/>
      </w:r>
      <w:r>
        <w:rPr>
          <w:rFonts w:ascii="PT Sans" w:hAnsi="PT Sans" w:eastAsia="PT Sans" w:cs="PT Sans"/>
          <w:b/>
          <w:color w:val="262626"/>
          <w:sz w:val="24"/>
        </w:rPr>
        <w:t xml:space="preserve">и в Стокгольме 14 июля 1967 г.</w:t>
        <w:br/>
        <w:t xml:space="preserve">и измененная 2 октября 1979 г.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  <w:highlight w:val="white"/>
        </w:rPr>
        <w:t xml:space="preserve"> 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[[Образование Союза; понятие промышленной собственности]</w:t>
      </w:r>
      <w:r/>
    </w:p>
    <w:p>
      <w:pPr>
        <w:pStyle w:val="834"/>
        <w:numPr>
          <w:ilvl w:val="0"/>
          <w:numId w:val="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Страны, к которым применяется настоящая Конвенция, образуют Союз по охране промышленной собственности.</w:t>
        <w:br/>
      </w:r>
      <w:r/>
    </w:p>
    <w:p>
      <w:pPr>
        <w:pStyle w:val="834"/>
        <w:numPr>
          <w:ilvl w:val="0"/>
          <w:numId w:val="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Объектами охраны промышленной собственности являются патенты на изобретения, полезные модели, промышленные образцы, товарные знаки, знаки обслуживания, фирменные наименования и указания происхождения или наименования места происхождения, а также пресечение</w:t>
      </w:r>
      <w:r>
        <w:rPr>
          <w:rFonts w:ascii="PT Sans" w:hAnsi="PT Sans" w:eastAsia="PT Sans" w:cs="PT Sans"/>
          <w:color w:val="262626"/>
          <w:sz w:val="24"/>
        </w:rPr>
        <w:t xml:space="preserve"> недобросовестной конкуренции.</w:t>
        <w:br/>
      </w:r>
      <w:r/>
    </w:p>
    <w:p>
      <w:pPr>
        <w:pStyle w:val="834"/>
        <w:numPr>
          <w:ilvl w:val="0"/>
          <w:numId w:val="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Промышленная собственность понимается в самом широком смысле и распространяется не только на промышленность и торговлю в собственном смысле слова, но также и на области сельскохозяйственного производства и добывающей промышленности и на все продукты промыш</w:t>
      </w:r>
      <w:r>
        <w:rPr>
          <w:rFonts w:ascii="PT Sans" w:hAnsi="PT Sans" w:eastAsia="PT Sans" w:cs="PT Sans"/>
          <w:color w:val="262626"/>
          <w:sz w:val="24"/>
        </w:rPr>
        <w:t xml:space="preserve">ленного или природного происхождения, как, например: вино, зерно, табачный лист, фрукты, скот, ископаемые, минеральные воды, пиво, цветы, мука.</w:t>
        <w:br/>
      </w:r>
      <w:r/>
    </w:p>
    <w:p>
      <w:pPr>
        <w:pStyle w:val="834"/>
        <w:numPr>
          <w:ilvl w:val="0"/>
          <w:numId w:val="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 патентам на изобретения относятся различные виды промышленных патентов, признаваемых законодательством стран Союза, как, например: ввозные патенты, патенты на усовершенствование, дополнительные патенты и свидетельства и т.п.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[[Национальный режим для граждан стран Союза]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 регулировании отношений, возникающих в связи с созданием, правовой охраной и использованием изобретений, полезных моделей и промышленных образцов в Российской Федерации см. Патентный закон РФ от 23 сентября 1992 г. N 3517-1</w:t>
        <w:br/>
      </w:r>
      <w:r/>
    </w:p>
    <w:p>
      <w:pPr>
        <w:pStyle w:val="834"/>
        <w:numPr>
          <w:ilvl w:val="0"/>
          <w:numId w:val="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отношении охраны промышленной собственности граждане каждой страны Союза пользуются во всех других странах Союза теми же преимуществами, которые предоставляются в настоящее время или будут предоставлены впоследствии соответствующими законами собственным </w:t>
      </w:r>
      <w:r>
        <w:rPr>
          <w:rFonts w:ascii="PT Sans" w:hAnsi="PT Sans" w:eastAsia="PT Sans" w:cs="PT Sans"/>
          <w:color w:val="262626"/>
          <w:sz w:val="24"/>
        </w:rPr>
        <w:t xml:space="preserve">гражданам, не ущемляя при этом прав, специально предусмотренных настоящей Конвенцией. Исходя из этого, их права будут охраняться так же, как и права граждан данной страны, и они будут пользоваться теми же законными средствами защиты от всякого посягательст</w:t>
      </w:r>
      <w:r>
        <w:rPr>
          <w:rFonts w:ascii="PT Sans" w:hAnsi="PT Sans" w:eastAsia="PT Sans" w:cs="PT Sans"/>
          <w:color w:val="262626"/>
          <w:sz w:val="24"/>
        </w:rPr>
        <w:t xml:space="preserve">ва на их права, если при этом соблюдены условия и формальности, предписываемые собственным гражданам.</w:t>
        <w:br/>
      </w:r>
      <w:r/>
    </w:p>
    <w:p>
      <w:pPr>
        <w:pStyle w:val="834"/>
        <w:numPr>
          <w:ilvl w:val="0"/>
          <w:numId w:val="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Однако никакие условия о месте жительства или наличие предприятия в стране, где испрашивается охрана, не могут быть поставлены гражданам стран Союза в качестве предпосылки для пользования каким-либо из прав промышленной собственности.</w:t>
        <w:br/>
      </w:r>
      <w:r/>
    </w:p>
    <w:p>
      <w:pPr>
        <w:pStyle w:val="834"/>
        <w:numPr>
          <w:ilvl w:val="0"/>
          <w:numId w:val="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Безусловно, сохраняются положения законодательства каждой из стран Союза, относящиеся к судебной и административной процедуре и к компетенции судебных и административных органов, а также к выбору местожительства или к назначению поверенного, соблюдение кот</w:t>
      </w:r>
      <w:r>
        <w:rPr>
          <w:rFonts w:ascii="PT Sans" w:hAnsi="PT Sans" w:eastAsia="PT Sans" w:cs="PT Sans"/>
          <w:color w:val="262626"/>
          <w:sz w:val="24"/>
        </w:rPr>
        <w:t xml:space="preserve">орых требуется на основании законов о промышленной собственности.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3.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[Приравнивание некоторых категорий лиц к гражданам стран Союза]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 гражданам стран Союза приравниваются граждане стран, не участвующих в Союзе, которые имеют на территории одной из стран Союза местожительство или действительные и серьезные промышленные или торговые предприятия.</w:t>
        <w:br/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4.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[А. - I. Патенты, полезные модели, промышленные образцы, товарные знаки, авторские свидетельства: право приоритета.</w:t>
        <w:br/>
        <w:t xml:space="preserve">G. Патенты: разделение заявки]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А.</w:t>
      </w:r>
      <w:r/>
    </w:p>
    <w:p>
      <w:pPr>
        <w:pStyle w:val="834"/>
        <w:numPr>
          <w:ilvl w:val="0"/>
          <w:numId w:val="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Любое лицо, надлежащим образом подавшее заявку на патент на изобретение, полезную модель, промышленный образец или товарный знак в одной из стран Союза, или правопреемник этого лица пользуется для подачи заявки в других странах правом приоритета в течение </w:t>
      </w:r>
      <w:r>
        <w:rPr>
          <w:rFonts w:ascii="PT Sans" w:hAnsi="PT Sans" w:eastAsia="PT Sans" w:cs="PT Sans"/>
          <w:color w:val="262626"/>
          <w:sz w:val="24"/>
        </w:rPr>
        <w:t xml:space="preserve">сроков, указанных ниже.</w:t>
        <w:br/>
      </w:r>
      <w:r/>
    </w:p>
    <w:p>
      <w:pPr>
        <w:pStyle w:val="834"/>
        <w:numPr>
          <w:ilvl w:val="0"/>
          <w:numId w:val="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Основанием для возникновения права приоритета признается всякая подача заявки, имеющая силу правильно оформленной национальной подачи заявки в соответствии с национальным законодательством каждой страны Союза или с двусторонними или многосторонними соглаше</w:t>
      </w:r>
      <w:r>
        <w:rPr>
          <w:rFonts w:ascii="PT Sans" w:hAnsi="PT Sans" w:eastAsia="PT Sans" w:cs="PT Sans"/>
          <w:color w:val="262626"/>
          <w:sz w:val="24"/>
        </w:rPr>
        <w:t xml:space="preserve">ниями, заключенными между странами Союза.</w:t>
        <w:br/>
      </w:r>
      <w:r/>
    </w:p>
    <w:p>
      <w:pPr>
        <w:pStyle w:val="834"/>
        <w:numPr>
          <w:ilvl w:val="0"/>
          <w:numId w:val="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Под правильно оформленной национальной подачей заявки следует понимать всякую подачу, которой достаточно для установления даты подачи заявки в соответствующей стране, какова бы ни была дальнейшая судьба этой заявки.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В.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Вследствие этого последующая подача заявки в одной из прочих стран Союза до истечения этих сроков не может быть признана недействительной на основании действий, совершенных в этот промежуток времени, в частности, на основании другой подачи заявки, опублико</w:t>
      </w:r>
      <w:r>
        <w:rPr>
          <w:rFonts w:ascii="PT Sans" w:hAnsi="PT Sans" w:eastAsia="PT Sans" w:cs="PT Sans"/>
          <w:color w:val="262626"/>
          <w:sz w:val="24"/>
        </w:rPr>
        <w:t xml:space="preserve">вания изобретения или его использования, выпуска в продажу экземпляров образца, применения знака, и эти действия не могут послужить основанием для возникновения какого-либо права третьих лиц или какого-либо права личного владения. Права, приобретенные трет</w:t>
      </w:r>
      <w:r>
        <w:rPr>
          <w:rFonts w:ascii="PT Sans" w:hAnsi="PT Sans" w:eastAsia="PT Sans" w:cs="PT Sans"/>
          <w:color w:val="262626"/>
          <w:sz w:val="24"/>
        </w:rPr>
        <w:t xml:space="preserve">ьими лицами до дня первой заявки, которая служит основанием для права приоритета, сохраняются в соответствии с внутренним законодательством каждой страны Союза.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С.</w:t>
      </w:r>
      <w:r/>
    </w:p>
    <w:p>
      <w:pPr>
        <w:pStyle w:val="834"/>
        <w:numPr>
          <w:ilvl w:val="0"/>
          <w:numId w:val="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Упомянутые выше сроки приоритета составляют двенадцать месяцев для патентов на изобретения и для полезных моделей и шесть месяцев для промышленных образцов и товарных знаков.</w:t>
        <w:br/>
      </w:r>
      <w:r/>
    </w:p>
    <w:p>
      <w:pPr>
        <w:pStyle w:val="834"/>
        <w:numPr>
          <w:ilvl w:val="0"/>
          <w:numId w:val="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Отсчет этих сроков начинается с даты подачи первой заявки; день подачи в срок не включается.</w:t>
        <w:br/>
      </w:r>
      <w:r/>
    </w:p>
    <w:p>
      <w:pPr>
        <w:pStyle w:val="834"/>
        <w:numPr>
          <w:ilvl w:val="0"/>
          <w:numId w:val="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последний день срока является по закону праздничным днем или днем, когда ведомство не открыто для приема заявок в той стране, где испрашивается охрана, срок продлевается до первого последующего рабочего дня.</w:t>
        <w:br/>
      </w:r>
      <w:r/>
    </w:p>
    <w:p>
      <w:pPr>
        <w:pStyle w:val="834"/>
        <w:numPr>
          <w:ilvl w:val="0"/>
          <w:numId w:val="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Первой заявкой, дата подачи которой служит днем отсчета срока приоритета, должна считаться последующая заявка на тот же объект, что и первая предшествующая заявка в смысле приведенного выше пункта (2), поданная в той же стране Союза, в случае, если эта пре</w:t>
      </w:r>
      <w:r>
        <w:rPr>
          <w:rFonts w:ascii="PT Sans" w:hAnsi="PT Sans" w:eastAsia="PT Sans" w:cs="PT Sans"/>
          <w:color w:val="262626"/>
          <w:sz w:val="24"/>
        </w:rPr>
        <w:t xml:space="preserve">дшествующая заявка на день подачи последующей заявки была взята обратно, оставлена без движения или отклонена, не будучи доступной для публичного ознакомления, а также при условии, что в отношении ее не продолжали существовать какие-либо права и она не пос</w:t>
      </w:r>
      <w:r>
        <w:rPr>
          <w:rFonts w:ascii="PT Sans" w:hAnsi="PT Sans" w:eastAsia="PT Sans" w:cs="PT Sans"/>
          <w:color w:val="262626"/>
          <w:sz w:val="24"/>
        </w:rPr>
        <w:t xml:space="preserve">лужила еще основанием для притязаний на право приоритета. Предшествующая заявка не может тогда служить основанием для притязаний на право приоритета.</w:t>
        <w:br/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D.</w:t>
      </w:r>
      <w:r/>
    </w:p>
    <w:p>
      <w:pPr>
        <w:pStyle w:val="834"/>
        <w:numPr>
          <w:ilvl w:val="0"/>
          <w:numId w:val="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Всякое лицо, желающее воспользоваться преимуществом приоритета на основании предшествующей заявки, обязано подать заявление с указанием даты подачи заявки и страны, где она произведена. Каждая страна устанавливает, не позднее какого момента должно быть под</w:t>
      </w:r>
      <w:r>
        <w:rPr>
          <w:rFonts w:ascii="PT Sans" w:hAnsi="PT Sans" w:eastAsia="PT Sans" w:cs="PT Sans"/>
          <w:color w:val="262626"/>
          <w:sz w:val="24"/>
        </w:rPr>
        <w:t xml:space="preserve">ано такое заявление.</w:t>
        <w:br/>
      </w:r>
      <w:r/>
    </w:p>
    <w:p>
      <w:pPr>
        <w:pStyle w:val="834"/>
        <w:numPr>
          <w:ilvl w:val="0"/>
          <w:numId w:val="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Эти указания должны приводиться в изданиях, выпускаемых компетентным учреждением, в частности в патентах и относящихся к ним описаниях.</w:t>
        <w:br/>
      </w:r>
      <w:r/>
    </w:p>
    <w:p>
      <w:pPr>
        <w:pStyle w:val="834"/>
        <w:numPr>
          <w:ilvl w:val="0"/>
          <w:numId w:val="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могут требовать от лица, подающего заявление о приоритете, представления копии ранее поданной заявки (описания, чертежей и т.д.). Копия, заверенная учреждением, принявшим эту заявку, не требует никакой легализации и может быть во всех случаях </w:t>
      </w:r>
      <w:r>
        <w:rPr>
          <w:rFonts w:ascii="PT Sans" w:hAnsi="PT Sans" w:eastAsia="PT Sans" w:cs="PT Sans"/>
          <w:color w:val="262626"/>
          <w:sz w:val="24"/>
        </w:rPr>
        <w:t xml:space="preserve">представлена в любой момент в течение трех месяцев со дня подачи последующей заявки без уплаты каких-либо сборов. Предоставляется право требовать, чтобы к ней была приложена справка о дате подачи заявки, выданная этим учреждением, и перевод.</w:t>
        <w:br/>
      </w:r>
      <w:r/>
    </w:p>
    <w:p>
      <w:pPr>
        <w:pStyle w:val="834"/>
        <w:numPr>
          <w:ilvl w:val="0"/>
          <w:numId w:val="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момент подачи заявки не допускаются требования о выполнении других формальностей для заявления о приоритете. Каждая страна Союза определяет те последствия, которые влечет за собой несоблюдение формальностей, предусмотренных настоящей статьей, но эти посл</w:t>
      </w:r>
      <w:r>
        <w:rPr>
          <w:rFonts w:ascii="PT Sans" w:hAnsi="PT Sans" w:eastAsia="PT Sans" w:cs="PT Sans"/>
          <w:color w:val="262626"/>
          <w:sz w:val="24"/>
        </w:rPr>
        <w:t xml:space="preserve">едствия не могут быть более тяжкими, чем потеря права на приоритет.</w:t>
        <w:br/>
      </w:r>
      <w:r/>
    </w:p>
    <w:p>
      <w:pPr>
        <w:pStyle w:val="834"/>
        <w:numPr>
          <w:ilvl w:val="0"/>
          <w:numId w:val="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дальнейшем могут быть потребованы другие доказательства.</w:t>
        <w:br/>
      </w:r>
      <w:r/>
    </w:p>
    <w:p>
      <w:pPr>
        <w:pStyle w:val="834"/>
        <w:numPr>
          <w:ilvl w:val="0"/>
          <w:numId w:val="5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Лицо, претендующее на приоритет на основании предшествующей подачи заявки, должно указать номер этой заявки; это указание публикуется в порядке, предусмотренном приведенным выше пунктом (2).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Е.</w:t>
      </w:r>
      <w:r/>
    </w:p>
    <w:p>
      <w:pPr>
        <w:pStyle w:val="834"/>
        <w:numPr>
          <w:ilvl w:val="0"/>
          <w:numId w:val="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Когда промышленный образец заявляется в стране с использованием права приоритета, основанного на подаче заявки на полезную модель, приоритетным сроком является срок, установленный для промышленных образцов.</w:t>
        <w:br/>
      </w:r>
      <w:r/>
    </w:p>
    <w:p>
      <w:pPr>
        <w:pStyle w:val="834"/>
        <w:numPr>
          <w:ilvl w:val="0"/>
          <w:numId w:val="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Кроме того, в стране допускается подача заявки на полезную модель с использованием права приоритета, основанного на подаче заявки на патент, и наоборот.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F.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Ни одна страна Союза не имеет права не признать приоритет или отклонить заявку на патент на том основании, что заявитель притязает на несколько приоритетов, в том числе и установленных в разных странах, или на том основании, что заявка, притязающая на один</w:t>
      </w:r>
      <w:r>
        <w:rPr>
          <w:rFonts w:ascii="PT Sans" w:hAnsi="PT Sans" w:eastAsia="PT Sans" w:cs="PT Sans"/>
          <w:color w:val="262626"/>
          <w:sz w:val="24"/>
        </w:rPr>
        <w:t xml:space="preserve"> или несколько приоритетов, содержит один или несколько элементов, которые не были включены в заявку или заявки, по которым испрашивается приоритет, если только в обоих случаях согласно закону страны существует единство изобретения.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том, что касается элементов, не включенных в заявку или заявки, в отношении которых испрашивается приоритет, подача последующей заявки порождает право приоритета на обычных условиях.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G.</w:t>
      </w:r>
      <w:r/>
    </w:p>
    <w:p>
      <w:pPr>
        <w:pStyle w:val="834"/>
        <w:numPr>
          <w:ilvl w:val="0"/>
          <w:numId w:val="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экспертиза обнаружит, что заявка на патент является комплексной, заявитель может разделить заявку на некоторое число отдельных заявок, сохраняя в качестве даты каждой из них дату первоначальной заявки и в соответствующих случаях преимущество права при</w:t>
      </w:r>
      <w:r>
        <w:rPr>
          <w:rFonts w:ascii="PT Sans" w:hAnsi="PT Sans" w:eastAsia="PT Sans" w:cs="PT Sans"/>
          <w:color w:val="262626"/>
          <w:sz w:val="24"/>
        </w:rPr>
        <w:t xml:space="preserve">оритета.</w:t>
        <w:br/>
      </w:r>
      <w:r/>
    </w:p>
    <w:p>
      <w:pPr>
        <w:pStyle w:val="834"/>
        <w:numPr>
          <w:ilvl w:val="0"/>
          <w:numId w:val="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Заявитель может также по своей инициативе разделить заявку на патент, сохраняя в качестве даты каждой отдельной заявки дату первоначальной заявки и в соответствующих случаях преимущество права приоритета. Каждой стране Союза предоставляется право определит</w:t>
      </w:r>
      <w:r>
        <w:rPr>
          <w:rFonts w:ascii="PT Sans" w:hAnsi="PT Sans" w:eastAsia="PT Sans" w:cs="PT Sans"/>
          <w:color w:val="262626"/>
          <w:sz w:val="24"/>
        </w:rPr>
        <w:t xml:space="preserve">ь условия, при которых разрешается такое разделение.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H.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Приоритет не может быть отклонен по той причине, что некоторые элементы изобретения, в отношении которых испрашивается приоритет, не фигурируют в притязаниях, изложенных в заявке в стране происхождения, если только в совокупности документов заявки четко об</w:t>
      </w:r>
      <w:r>
        <w:rPr>
          <w:rFonts w:ascii="PT Sans" w:hAnsi="PT Sans" w:eastAsia="PT Sans" w:cs="PT Sans"/>
          <w:color w:val="262626"/>
          <w:sz w:val="24"/>
        </w:rPr>
        <w:t xml:space="preserve">наруживаются эти элементы.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I.</w:t>
      </w:r>
      <w:r/>
    </w:p>
    <w:p>
      <w:pPr>
        <w:pStyle w:val="834"/>
        <w:numPr>
          <w:ilvl w:val="0"/>
          <w:numId w:val="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Заявки на авторские свидетельства на изобретения, подаваемые в стране, в которой заявители имеют право испрашивать по собственному выбору либо патент, либо авторское свидетельство на изобретение, дают основание для права приоритета, предусмотренного настоя</w:t>
      </w:r>
      <w:r>
        <w:rPr>
          <w:rFonts w:ascii="PT Sans" w:hAnsi="PT Sans" w:eastAsia="PT Sans" w:cs="PT Sans"/>
          <w:color w:val="262626"/>
          <w:sz w:val="24"/>
        </w:rPr>
        <w:t xml:space="preserve">щей статьей, на тех же условиях и с теми же последствиями, что и заявки на патенты.</w:t>
        <w:br/>
      </w:r>
      <w:r/>
    </w:p>
    <w:p>
      <w:pPr>
        <w:pStyle w:val="834"/>
        <w:numPr>
          <w:ilvl w:val="0"/>
          <w:numId w:val="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стране, в которой заявители имеют право испрашивать по собственному выбору либо патент, либо авторское свидетельство на изобретение, заявитель на авторское свидетельство на изобретение пользуется в соответствии с положениями настоящей статьи, относящимис</w:t>
      </w:r>
      <w:r>
        <w:rPr>
          <w:rFonts w:ascii="PT Sans" w:hAnsi="PT Sans" w:eastAsia="PT Sans" w:cs="PT Sans"/>
          <w:color w:val="262626"/>
          <w:sz w:val="24"/>
        </w:rPr>
        <w:t xml:space="preserve">я к заявкам на патенты, правом приоритета, основанным на заявке на патент, полезную модель или авторское свидетельство на изобретение.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4-bis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[Патенты: независимость патентов, полученных на</w:t>
        <w:br/>
        <w:t xml:space="preserve">одно и то же изобретение в различных странах]</w:t>
      </w:r>
      <w:r/>
    </w:p>
    <w:p>
      <w:pPr>
        <w:pStyle w:val="834"/>
        <w:numPr>
          <w:ilvl w:val="0"/>
          <w:numId w:val="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Патенты, заявки на которые поданы в разных странах Союза гражданами стран Союза, независимы от патентов, полученных на то же изобретение в других странах, входящих или не входящих в состав Союза.</w:t>
        <w:br/>
      </w:r>
      <w:r/>
    </w:p>
    <w:p>
      <w:pPr>
        <w:pStyle w:val="834"/>
        <w:numPr>
          <w:ilvl w:val="0"/>
          <w:numId w:val="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Это положение следует рассматривать без каких-либо ограничений, а именно в том смысле, что патенты, заявки на которые поданы в течение срока приоритета, являются независимыми как с точки зрения оснований признания их недействительными и прекращения действи</w:t>
      </w:r>
      <w:r>
        <w:rPr>
          <w:rFonts w:ascii="PT Sans" w:hAnsi="PT Sans" w:eastAsia="PT Sans" w:cs="PT Sans"/>
          <w:color w:val="262626"/>
          <w:sz w:val="24"/>
        </w:rPr>
        <w:t xml:space="preserve">я прав, так и с точки зрения определения нормального срока их действия.</w:t>
        <w:br/>
      </w:r>
      <w:r/>
    </w:p>
    <w:p>
      <w:pPr>
        <w:pStyle w:val="834"/>
        <w:numPr>
          <w:ilvl w:val="0"/>
          <w:numId w:val="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Это положение относится ко всем патентам, существующим в момент его вступления в силу.</w:t>
        <w:br/>
      </w:r>
      <w:r/>
    </w:p>
    <w:p>
      <w:pPr>
        <w:pStyle w:val="834"/>
        <w:numPr>
          <w:ilvl w:val="0"/>
          <w:numId w:val="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Оно будет также применяться и в случае присоединения новых стран в отношении патентов, существующих с той и другой стороны в момент присоединения.</w:t>
        <w:br/>
      </w:r>
      <w:r/>
    </w:p>
    <w:p>
      <w:pPr>
        <w:pStyle w:val="834"/>
        <w:numPr>
          <w:ilvl w:val="0"/>
          <w:numId w:val="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Патенты, полученные с преимуществом, вытекающим из приоритета, имеют в различных странах Союза тот же срок действия, какой они имели бы, если они были бы заявлены или выданы без этого преимущества, вытекающего из приоритета.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4-ter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[Патенты: упоминание изобретателя в патенте]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Изобретатель имеет право быть названным в качестве такового в патенте.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4-quater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[Патенты: патентоспособность в случае ограничения продажи по закону]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выдаче патента не может быть отказано и патент не может быть признан недействительным на основании того, что продажа продукта, запатентованного или изготовленного запатентованным способом, подвергнута на основании национального законодательства ограничен</w:t>
      </w:r>
      <w:r>
        <w:rPr>
          <w:rFonts w:ascii="PT Sans" w:hAnsi="PT Sans" w:eastAsia="PT Sans" w:cs="PT Sans"/>
          <w:color w:val="262626"/>
          <w:sz w:val="24"/>
        </w:rPr>
        <w:t xml:space="preserve">иям или сокращениям.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5.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[А. Патенты: ввоз объектов, неиспользование или недостаточное использование, принудительные лицензии.</w:t>
        <w:br/>
        <w:t xml:space="preserve">В. Промышленные образцы: неиспользование, ввоз объектов.</w:t>
        <w:br/>
        <w:t xml:space="preserve">С. Товарные знаки: неиспользование, отличие формы, использование совладельцами.</w:t>
        <w:br/>
        <w:t xml:space="preserve">D. Патенты, полез</w:t>
      </w:r>
      <w:r>
        <w:rPr>
          <w:rFonts w:ascii="PT Sans" w:hAnsi="PT Sans" w:eastAsia="PT Sans" w:cs="PT Sans"/>
          <w:b/>
          <w:color w:val="0a3e63"/>
          <w:sz w:val="27"/>
        </w:rPr>
        <w:t xml:space="preserve">ные модели, товарные знаки, промышленные образцы: маркировка]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А.</w:t>
      </w:r>
      <w:r/>
    </w:p>
    <w:p>
      <w:pPr>
        <w:pStyle w:val="834"/>
        <w:numPr>
          <w:ilvl w:val="0"/>
          <w:numId w:val="1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Ввоз патентообладателем в страну выдачи патента объектов, изготовленных в той или иной стране Союза, не влечет за собой утраты основанных на нем прав.</w:t>
        <w:br/>
      </w:r>
      <w:r/>
    </w:p>
    <w:p>
      <w:pPr>
        <w:pStyle w:val="834"/>
        <w:numPr>
          <w:ilvl w:val="0"/>
          <w:numId w:val="1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Каждая страна Союза имеет право принять законодательные меры, предусматривающие выдачу принудительных лицензий, для предотвращения злоупотреблений, которые могут возникнуть в результате осуществления исключительного права, предоставляемого патентом, наприм</w:t>
      </w:r>
      <w:r>
        <w:rPr>
          <w:rFonts w:ascii="PT Sans" w:hAnsi="PT Sans" w:eastAsia="PT Sans" w:cs="PT Sans"/>
          <w:color w:val="262626"/>
          <w:sz w:val="24"/>
        </w:rPr>
        <w:t xml:space="preserve">ер, в случае неиспользования изобретения.</w:t>
        <w:br/>
      </w:r>
      <w:r/>
    </w:p>
    <w:p>
      <w:pPr>
        <w:pStyle w:val="834"/>
        <w:numPr>
          <w:ilvl w:val="0"/>
          <w:numId w:val="1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Лишение прав на патент может быть предусмотрено лишь в случае, когда выдача принудительных лицензий окажется недостаточной для предотвращения этих злоупотреблений. Никакое действие по лишению прав или по аннулированию патента не может иметь место до истече</w:t>
      </w:r>
      <w:r>
        <w:rPr>
          <w:rFonts w:ascii="PT Sans" w:hAnsi="PT Sans" w:eastAsia="PT Sans" w:cs="PT Sans"/>
          <w:color w:val="262626"/>
          <w:sz w:val="24"/>
        </w:rPr>
        <w:t xml:space="preserve">ния двух лет с момента выдачи первой принудительной лицензии.</w:t>
        <w:br/>
      </w:r>
      <w:r/>
    </w:p>
    <w:p>
      <w:pPr>
        <w:pStyle w:val="834"/>
        <w:numPr>
          <w:ilvl w:val="0"/>
          <w:numId w:val="1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Принудительная лицензия не может быть потребована по причине неиспользования или недостаточного использования до истечения срока в четыре года, считая с даты подачи заявки на патент, или трех лет с даты выдачи патента, причем должен применяться срок, котор</w:t>
      </w:r>
      <w:r>
        <w:rPr>
          <w:rFonts w:ascii="PT Sans" w:hAnsi="PT Sans" w:eastAsia="PT Sans" w:cs="PT Sans"/>
          <w:color w:val="262626"/>
          <w:sz w:val="24"/>
        </w:rPr>
        <w:t xml:space="preserve">ый истекает позднее; в выдаче принудительной лицензии будет отказано, если патентообладатель докажет, что его бездействие было обусловлено уважительными причинами. Такая принудительная лицензия является неисключительной лицензией и может передаваться даже </w:t>
      </w:r>
      <w:r>
        <w:rPr>
          <w:rFonts w:ascii="PT Sans" w:hAnsi="PT Sans" w:eastAsia="PT Sans" w:cs="PT Sans"/>
          <w:color w:val="262626"/>
          <w:sz w:val="24"/>
        </w:rPr>
        <w:t xml:space="preserve">в форме выдачи сублицензии, но лишь вместе с частью промышленного или торгового предприятия, использующего эту лицензию.</w:t>
        <w:br/>
      </w:r>
      <w:r/>
    </w:p>
    <w:p>
      <w:pPr>
        <w:pStyle w:val="834"/>
        <w:numPr>
          <w:ilvl w:val="0"/>
          <w:numId w:val="1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Приведенные выше положения применяются с необходимыми изменениями и к полезным моделям.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В.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Охрана промышленных образцов не может быть прекращена вследствие неиспользования или ввоза объектов, сходных с охраняемыми объектами.</w:t>
        <w:br/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С.</w:t>
      </w:r>
      <w:r/>
    </w:p>
    <w:p>
      <w:pPr>
        <w:pStyle w:val="834"/>
        <w:numPr>
          <w:ilvl w:val="0"/>
          <w:numId w:val="1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в стране использование зарегистрированного знака является обязательным, регистрация может быть аннулирована лишь по истечении справедливого срока и только тогда, когда заинтересованное лицо не представит доказательств, оправдывающих причины его бездей</w:t>
      </w:r>
      <w:r>
        <w:rPr>
          <w:rFonts w:ascii="PT Sans" w:hAnsi="PT Sans" w:eastAsia="PT Sans" w:cs="PT Sans"/>
          <w:color w:val="262626"/>
          <w:sz w:val="24"/>
        </w:rPr>
        <w:t xml:space="preserve">ствия.</w:t>
        <w:br/>
      </w:r>
      <w:r/>
    </w:p>
    <w:p>
      <w:pPr>
        <w:pStyle w:val="834"/>
        <w:numPr>
          <w:ilvl w:val="0"/>
          <w:numId w:val="1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Применение товарного знака его владельцем в такой форме, которая отличается от зарегистрированной в какой-либо из стран Союза лишь отдельными элементами, не изменяющими отличительного характера знака, не влечет за собой признания недействительности регистр</w:t>
      </w:r>
      <w:r>
        <w:rPr>
          <w:rFonts w:ascii="PT Sans" w:hAnsi="PT Sans" w:eastAsia="PT Sans" w:cs="PT Sans"/>
          <w:color w:val="262626"/>
          <w:sz w:val="24"/>
        </w:rPr>
        <w:t xml:space="preserve">ации и не ограничивает охрану, предоставленную знаку.</w:t>
        <w:br/>
      </w:r>
      <w:r/>
    </w:p>
    <w:p>
      <w:pPr>
        <w:pStyle w:val="834"/>
        <w:numPr>
          <w:ilvl w:val="0"/>
          <w:numId w:val="1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Одновременное применение одного и того же знака на одинаковых или сходных продуктах промышленными или торговыми предприятиями, рассматриваемыми в качестве совладельцев знака в соответствии с положениями закона страны, где испрашивается охрана, не препятств</w:t>
      </w:r>
      <w:r>
        <w:rPr>
          <w:rFonts w:ascii="PT Sans" w:hAnsi="PT Sans" w:eastAsia="PT Sans" w:cs="PT Sans"/>
          <w:color w:val="262626"/>
          <w:sz w:val="24"/>
        </w:rPr>
        <w:t xml:space="preserve">ует регистрации знака и никоим образом не ограничивает охрану, предоставленную указанному знаку в какой-либо стране Союза, если только такое применение не вводит общественность в заблуждение и не противоречит публичным интересам.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D.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Для признания прав не требуется помещения на продукте какого-либо обозначения или указания на патент, полезную модель, регистрацию товарного знака или депонирование промышленного образца.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5-bis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[Все виды прав промышленной собственности; льготный срок для уплаты пошлин за сохранение прав; патенты; восстановление]</w:t>
      </w:r>
      <w:r/>
    </w:p>
    <w:p>
      <w:pPr>
        <w:pStyle w:val="834"/>
        <w:numPr>
          <w:ilvl w:val="0"/>
          <w:numId w:val="1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Для уплаты пошлин, предусмотренных для сохранения прав промышленной собственности, предоставляется льготный срок, составляющий не менее шести месяцев, при условии уплаты дополнительной пошлины, если такая пошлина устанавливается национальным законодательст</w:t>
      </w:r>
      <w:r>
        <w:rPr>
          <w:rFonts w:ascii="PT Sans" w:hAnsi="PT Sans" w:eastAsia="PT Sans" w:cs="PT Sans"/>
          <w:color w:val="262626"/>
          <w:sz w:val="24"/>
        </w:rPr>
        <w:t xml:space="preserve">вом.</w:t>
        <w:br/>
      </w:r>
      <w:r/>
    </w:p>
    <w:p>
      <w:pPr>
        <w:pStyle w:val="834"/>
        <w:numPr>
          <w:ilvl w:val="0"/>
          <w:numId w:val="1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имеют право предусмотреть восстановление патентов на изобретения, утративших силу вследствие неуплаты пошлин.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5-ter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[Патенты: свободное применение запатентованных объектов, являющихся частью транспортных средств]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каждой из стран Союза не рассматриваются как нарушение прав патентообладателя:</w:t>
      </w:r>
      <w:r/>
    </w:p>
    <w:p>
      <w:pPr>
        <w:pStyle w:val="834"/>
        <w:numPr>
          <w:ilvl w:val="0"/>
          <w:numId w:val="1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Применение на борту судов других стран Союза средств, составляющих предмет его патента, в корпусе судна, в машинах, оснастке, механизмах и другом оборудовании, когда эти суда временно или случайно находятся в водах данной страны, при условии, что эти средс</w:t>
      </w:r>
      <w:r>
        <w:rPr>
          <w:rFonts w:ascii="PT Sans" w:hAnsi="PT Sans" w:eastAsia="PT Sans" w:cs="PT Sans"/>
          <w:color w:val="262626"/>
          <w:sz w:val="24"/>
        </w:rPr>
        <w:t xml:space="preserve">тва используются исключительно для нужд судна.</w:t>
        <w:br/>
      </w:r>
      <w:r/>
    </w:p>
    <w:p>
      <w:pPr>
        <w:pStyle w:val="834"/>
        <w:numPr>
          <w:ilvl w:val="0"/>
          <w:numId w:val="1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Применение средств, составляющих предмет патента, в конструкции или при эксплуатации воздушных или наземных средств передвижения других стран Союза или вспомогательного оборудования для этих средств передвижения, когда указанные средства передвижения време</w:t>
      </w:r>
      <w:r>
        <w:rPr>
          <w:rFonts w:ascii="PT Sans" w:hAnsi="PT Sans" w:eastAsia="PT Sans" w:cs="PT Sans"/>
          <w:color w:val="262626"/>
          <w:sz w:val="24"/>
        </w:rPr>
        <w:t xml:space="preserve">нно или случайно находятся в данной стране.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5-quater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[Патенты: ввоз продуктов, изготовленных способом, запатентованным в стране ввоза]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продукт ввозится в страну Союза, где существует патент, охраняющий способ производства указанного продукта, патентообладатель имеет в отношении ввезенного продукта все права, какие ему предоставляет законодательство импортирующей страны на основе пате</w:t>
      </w:r>
      <w:r>
        <w:rPr>
          <w:rFonts w:ascii="PT Sans" w:hAnsi="PT Sans" w:eastAsia="PT Sans" w:cs="PT Sans"/>
          <w:color w:val="262626"/>
          <w:sz w:val="24"/>
        </w:rPr>
        <w:t xml:space="preserve">нта на способ производства отношении продуктов, изготовленных в данной стране.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5-quinquies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[Промышленные образцы]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Промышленные образцы охраняются во всех странах Союза.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6.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условия регистрации; независимость охраны одного и того же знака в различных странах]</w:t>
      </w:r>
      <w:r/>
    </w:p>
    <w:p>
      <w:pPr>
        <w:pStyle w:val="834"/>
        <w:numPr>
          <w:ilvl w:val="0"/>
          <w:numId w:val="1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Условия подачи заявки и регистрации товарных знаков определяются в каждой стране Союза ее национальным законодательством.</w:t>
        <w:br/>
      </w:r>
      <w:r/>
    </w:p>
    <w:p>
      <w:pPr>
        <w:pStyle w:val="834"/>
        <w:numPr>
          <w:ilvl w:val="0"/>
          <w:numId w:val="1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Однако знак, заявленный гражданином страны Союза в какой-либо другой стране Союза, не может быть отклонен или признан недействительным на основании того, что он не был заявлен, зарегистрирован или возобновлен в стране происхождения.</w:t>
        <w:br/>
      </w:r>
      <w:r/>
    </w:p>
    <w:p>
      <w:pPr>
        <w:pStyle w:val="834"/>
        <w:numPr>
          <w:ilvl w:val="0"/>
          <w:numId w:val="1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Знак, надлежащим образом зарегистрированный в какой-либо стране Союза, рассматривается как независимый от знаков, зарегистрированных в других странах Союза, включая страну происхождения.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6-bis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общеизвестные товарные знаки]</w:t>
      </w:r>
      <w:r/>
    </w:p>
    <w:p>
      <w:pPr>
        <w:pStyle w:val="834"/>
        <w:numPr>
          <w:ilvl w:val="0"/>
          <w:numId w:val="1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обязуются или по инициативе администрации, если это допускается законодательством данной страны, или по ходатайству заинтересованного лица отклонять или признавать недействительной регистрацию и запрещать применение товарного знака, представля</w:t>
      </w:r>
      <w:r>
        <w:rPr>
          <w:rFonts w:ascii="PT Sans" w:hAnsi="PT Sans" w:eastAsia="PT Sans" w:cs="PT Sans"/>
          <w:color w:val="262626"/>
          <w:sz w:val="24"/>
        </w:rPr>
        <w:t xml:space="preserve">ющего собой воспроизведение, имитацию или перевод другого знака, способные вызвать смешение со знаком, который по определению компетентного органа страны регистрации или страны применения уже является в этой стране общеизвестным в качестве знака лица, поль</w:t>
      </w:r>
      <w:r>
        <w:rPr>
          <w:rFonts w:ascii="PT Sans" w:hAnsi="PT Sans" w:eastAsia="PT Sans" w:cs="PT Sans"/>
          <w:color w:val="262626"/>
          <w:sz w:val="24"/>
        </w:rPr>
        <w:t xml:space="preserve">зующегося преимуществами настоящей Конвенции, и используется для идентичных или подобных продуктов. Это положение распространяется и на те случаи, когда существенная составная часть знака представляет собой воспроизведение такого общеизвестного знака или и</w:t>
      </w:r>
      <w:r>
        <w:rPr>
          <w:rFonts w:ascii="PT Sans" w:hAnsi="PT Sans" w:eastAsia="PT Sans" w:cs="PT Sans"/>
          <w:color w:val="262626"/>
          <w:sz w:val="24"/>
        </w:rPr>
        <w:t xml:space="preserve">митацию, способную вызвать смешение с ним.</w:t>
        <w:br/>
      </w:r>
      <w:r/>
    </w:p>
    <w:p>
      <w:pPr>
        <w:pStyle w:val="834"/>
        <w:numPr>
          <w:ilvl w:val="0"/>
          <w:numId w:val="1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Для предъявления требования об аннулировании такого знака предоставляется срок не менее пяти лет, исчисляемый с даты регистрации знака. Страны Союза имеют право установить срок, в течение которого может быть потребовано запрещение применения знака.</w:t>
        <w:br/>
      </w:r>
      <w:r/>
    </w:p>
    <w:p>
      <w:pPr>
        <w:pStyle w:val="834"/>
        <w:numPr>
          <w:ilvl w:val="0"/>
          <w:numId w:val="1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Срок не устанавливается для предъявления требования об аннулировании или запрещении применения знаков, зарегистрированных или используемых недобросовестно.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6-ter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запрещения, касающиеся государственных гербов, официальных клейм контроля и эмблем межправительственных организаций]]</w:t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16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(a)Страны Союза договариваются отклонять или признавать недействительной регистрацию и запрещать путем соответствующих мер использование без разрешения компетентных властей в качестве товарных знаков или в качестве элементов этих знаков гербов, флагов и др</w:t>
      </w:r>
      <w:r>
        <w:rPr>
          <w:rFonts w:ascii="PT Sans" w:hAnsi="PT Sans" w:eastAsia="PT Sans" w:cs="PT Sans"/>
          <w:color w:val="262626"/>
          <w:sz w:val="24"/>
        </w:rPr>
        <w:t xml:space="preserve">угих государственных эмблем стран Союза, введенных ими официальных знаков и клейм контроля и гарантии, а также всякое подражание этому с точки зрения геральдики.</w:t>
        <w:br/>
      </w:r>
      <w:r/>
    </w:p>
    <w:p>
      <w:pPr>
        <w:pStyle w:val="834"/>
        <w:numPr>
          <w:ilvl w:val="0"/>
          <w:numId w:val="16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(b) Положения, изложенные выше в подпункте (а), применяются равным образом к гербам, флагам и другим эмблемам, сокращенным или полным наименованиям международных межправительственных организаций, членами которых являются одна или несколько стран Союза, за </w:t>
      </w:r>
      <w:r>
        <w:rPr>
          <w:rFonts w:ascii="PT Sans" w:hAnsi="PT Sans" w:eastAsia="PT Sans" w:cs="PT Sans"/>
          <w:color w:val="262626"/>
          <w:sz w:val="24"/>
        </w:rPr>
        <w:t xml:space="preserve">исключением гербов, флагов и других эмблем, сокращенных или полных наименований, которые уже являются предметом действующих международных соглашений, предназначенных для обеспечения их охраны.</w:t>
        <w:br/>
      </w:r>
      <w:r/>
    </w:p>
    <w:p>
      <w:pPr>
        <w:pStyle w:val="834"/>
        <w:numPr>
          <w:ilvl w:val="0"/>
          <w:numId w:val="16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(c) Ни одна страна Союза не обязана применять положения, изложенные выше в подпункте (b), в ущерб владельцам прав, приобретенных добросовестно до вступления в силу в данной стране настоящей Конвенции. Страны Союза не обязаны применять указанные положения, </w:t>
      </w:r>
      <w:r>
        <w:rPr>
          <w:rFonts w:ascii="PT Sans" w:hAnsi="PT Sans" w:eastAsia="PT Sans" w:cs="PT Sans"/>
          <w:color w:val="262626"/>
          <w:sz w:val="24"/>
        </w:rPr>
        <w:t xml:space="preserve">если использование или регистрация, имеющиеся в виду в приведенном выше подпункте (а), не создадут у общественности впечатления о наличии связи между данной организацией и гербами, флагами, эмблемами, сокращенными или полными наименованиями, или если это и</w:t>
      </w:r>
      <w:r>
        <w:rPr>
          <w:rFonts w:ascii="PT Sans" w:hAnsi="PT Sans" w:eastAsia="PT Sans" w:cs="PT Sans"/>
          <w:color w:val="262626"/>
          <w:sz w:val="24"/>
        </w:rPr>
        <w:t xml:space="preserve">спользование или регистрация явно не направлены на то, чтобы ввести общественность в заблуждение относительно связи, существующей между пользователем и организацией.</w:t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Запрещение применения официальных знаков и клейм контроля и гарантии действует только в случаях, когда знаки, содержащие их, предназначаются для использования на товарах того же рода или подобных им.</w:t>
        <w:br/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16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Для применения этих положений страны Союза договариваются сообщать друг другу при посредстве Международного бюро список государственных эмблем, официальных знаков и клейм контроля и гарантии, которые они желают или пожелают в дальнейшем поставить в пол</w:t>
      </w:r>
      <w:r>
        <w:rPr>
          <w:rFonts w:ascii="PT Sans" w:hAnsi="PT Sans" w:eastAsia="PT Sans" w:cs="PT Sans"/>
          <w:color w:val="262626"/>
          <w:sz w:val="24"/>
        </w:rPr>
        <w:t xml:space="preserve">ном объеме или с некоторыми ограничениями под охрану настоящей статьи, а также сообщать о всех последующих изменениях, вносимых в эти списки. Каждая страна Союза своевременно предоставляет для публичного ознакомления присланные ей знаки.</w:t>
        <w:br/>
        <w:t xml:space="preserve">Однако такое уведо</w:t>
      </w:r>
      <w:r>
        <w:rPr>
          <w:rFonts w:ascii="PT Sans" w:hAnsi="PT Sans" w:eastAsia="PT Sans" w:cs="PT Sans"/>
          <w:color w:val="262626"/>
          <w:sz w:val="24"/>
        </w:rPr>
        <w:t xml:space="preserve">мление не обязательно в отношении государственных флагов.</w:t>
      </w:r>
      <w:r/>
    </w:p>
    <w:p>
      <w:pPr>
        <w:pStyle w:val="834"/>
        <w:numPr>
          <w:ilvl w:val="0"/>
          <w:numId w:val="16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(b) Положения, приведенные в подпункте (b) пункта (1) настоящей статьи, применимы лишь к гербам, флагам и другим эмблемам, сокращенным или полным наименованиям международных межправительственных организаций, о которых последние сообщили странам Союза при п</w:t>
      </w:r>
      <w:r>
        <w:rPr>
          <w:rFonts w:ascii="PT Sans" w:hAnsi="PT Sans" w:eastAsia="PT Sans" w:cs="PT Sans"/>
          <w:color w:val="262626"/>
          <w:sz w:val="24"/>
        </w:rPr>
        <w:t xml:space="preserve">осредстве Международного бюро.</w:t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Каждая страна Союза может в двенадцатимесячный срок с момента получения сообщения передать через посредство Международного бюро заинтересованной стране или международной межправительственной организации свои возможные возражения.</w:t>
        <w:br/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отношении государственных флагов меры, предусмотренные в вышеприведенном пункте (1), применяются только к знакам, зарегистрированным после 6 ноября 1925 года.</w:t>
        <w:br/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отношении государственных эмблем, за исключением флагов, а также в отношении официальных знаков и клейм стран Союза, гербов, флагов и других эмблем, сокращенных или полных наименований международных межправительственных организаций эти положения применяю</w:t>
      </w:r>
      <w:r>
        <w:rPr>
          <w:rFonts w:ascii="PT Sans" w:hAnsi="PT Sans" w:eastAsia="PT Sans" w:cs="PT Sans"/>
          <w:color w:val="262626"/>
          <w:sz w:val="24"/>
        </w:rPr>
        <w:t xml:space="preserve">тся лишь к знакам, зарегистрированным по истечении двух месяцев после получения сообщения, предусмотренного в вышеприведенном пункте (3).</w:t>
        <w:br/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случае недобросовестных действий страны имеют право аннулировать даже зарегистрированные до 6 ноября 1925 года знаки, содержащие государственные эмблемы, знаки и клейма.</w:t>
        <w:br/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Граждане каждой страны, имеющие разрешение использовать государственные эмблемы, официальные знаки и клейма своих стран, могут пользоваться ими даже при наличии их сходства с такими же знаками другой страны.</w:t>
        <w:br/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обязуются запрещать использование в торговле государственных гербов других стран Союза при отсутствии на то разрешения, если такое использование может ввести в заблуждение относительно происхождения продукта.</w:t>
        <w:br/>
      </w:r>
      <w:r/>
    </w:p>
    <w:p>
      <w:pPr>
        <w:pStyle w:val="834"/>
        <w:numPr>
          <w:ilvl w:val="0"/>
          <w:numId w:val="1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Вышеуказанные положения не препятствуют осуществлению странами права, предусмотренного пунктом (3) раздела В статьи 6quinquies отклонить регистрацию или признать ее недействительной в отношении знаков, в которые без разрешения включены гербы, флаги и други</w:t>
      </w:r>
      <w:r>
        <w:rPr>
          <w:rFonts w:ascii="PT Sans" w:hAnsi="PT Sans" w:eastAsia="PT Sans" w:cs="PT Sans"/>
          <w:color w:val="262626"/>
          <w:sz w:val="24"/>
        </w:rPr>
        <w:t xml:space="preserve">е государственные эмблемы или официальные знаки и клейма, принятые в стране Союза, а также отличительные знаки международных межправительственных организаций, перечисленные в вышеприведенном пункте (1).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6-quater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передача знака]</w:t>
      </w:r>
      <w:r/>
    </w:p>
    <w:p>
      <w:pPr>
        <w:pStyle w:val="834"/>
        <w:numPr>
          <w:ilvl w:val="0"/>
          <w:numId w:val="1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Когда в соответствии с законодательством страны Союза передача знака является действительной лишь в том случае, если она происходит одновременно с передачей промышленного или торгового предприятия, которому принадлежит этот знак, то для признания такой пер</w:t>
      </w:r>
      <w:r>
        <w:rPr>
          <w:rFonts w:ascii="PT Sans" w:hAnsi="PT Sans" w:eastAsia="PT Sans" w:cs="PT Sans"/>
          <w:color w:val="262626"/>
          <w:sz w:val="24"/>
        </w:rPr>
        <w:t xml:space="preserve">едачи действительной достаточно, чтобы часть промышленного или торгового предприятия, расположенная в этой стране, была передана приобретателю вместе с исключительным правом изготовления или продажи там продуктов, снабженных переданным знаком.</w:t>
        <w:br/>
      </w:r>
      <w:r/>
    </w:p>
    <w:p>
      <w:pPr>
        <w:pStyle w:val="834"/>
        <w:numPr>
          <w:ilvl w:val="0"/>
          <w:numId w:val="1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Это положение не налагает на страны Союза обязательства рассматривать в качестве действительной передачу такого знака, использование которого приобретателем могло бы на деле ввести в заблуждение общественность, в частности в отношении происхождения, характ</w:t>
      </w:r>
      <w:r>
        <w:rPr>
          <w:rFonts w:ascii="PT Sans" w:hAnsi="PT Sans" w:eastAsia="PT Sans" w:cs="PT Sans"/>
          <w:color w:val="262626"/>
          <w:sz w:val="24"/>
        </w:rPr>
        <w:t xml:space="preserve">ера или существенных качеств продуктов, для которых применяется знак.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6-quinquies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охрана знаков, зарегистрированных в одной стране Союза, в других странах Союза (оговорка "Таким, как он есть")]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А.</w:t>
      </w:r>
      <w:r/>
    </w:p>
    <w:p>
      <w:pPr>
        <w:pStyle w:val="834"/>
        <w:numPr>
          <w:ilvl w:val="0"/>
          <w:numId w:val="1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Каждый товарный знак, надлежащим образом зарегистрированный в стране происхождения, может быть заявлен в других странах Союза и охраняется таким, как он есть, с оговорками, указанными в данной статье. Эти страны могут до окончательного оформления регистрац</w:t>
      </w:r>
      <w:r>
        <w:rPr>
          <w:rFonts w:ascii="PT Sans" w:hAnsi="PT Sans" w:eastAsia="PT Sans" w:cs="PT Sans"/>
          <w:color w:val="262626"/>
          <w:sz w:val="24"/>
        </w:rPr>
        <w:t xml:space="preserve">ии потребовать представления свидетельства о регистрации в стране происхождения, выданного компетентным учреждением. Никакой легализации такого свидетельства не требуется.</w:t>
        <w:br/>
      </w:r>
      <w:r/>
    </w:p>
    <w:p>
      <w:pPr>
        <w:pStyle w:val="834"/>
        <w:numPr>
          <w:ilvl w:val="0"/>
          <w:numId w:val="1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Страной происхождения считается страна Союза, где заявитель имеет действительное и серьезное промышленное или торговое предприятие, а если у него нет такого предприятия в пределах Союза - страна Союза, где он имеет местожительство, а если у него нет местож</w:t>
      </w:r>
      <w:r>
        <w:rPr>
          <w:rFonts w:ascii="PT Sans" w:hAnsi="PT Sans" w:eastAsia="PT Sans" w:cs="PT Sans"/>
          <w:color w:val="262626"/>
          <w:sz w:val="24"/>
        </w:rPr>
        <w:t xml:space="preserve">ительства в пределах Союза - страна его гражданства, в случае если он является гражданином страны Союза.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В.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Товарные знаки, подпадающие под действие настоящей статьи, могут быть отклонены при регистрации или признаны недействительными лишь в следующих случаях:</w:t>
      </w:r>
      <w:r/>
    </w:p>
    <w:p>
      <w:pPr>
        <w:pStyle w:val="834"/>
        <w:numPr>
          <w:ilvl w:val="0"/>
          <w:numId w:val="1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знаки могут затронуть права, приобретенные третьими лицами в стране, где испрашивается охрана;</w:t>
        <w:br/>
      </w:r>
      <w:r/>
    </w:p>
    <w:p>
      <w:pPr>
        <w:pStyle w:val="834"/>
        <w:numPr>
          <w:ilvl w:val="0"/>
          <w:numId w:val="1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знаки лишены каких-либо отличительных признаков или составлены исключительно из знаков или указаний, могущих служить в торговле для обозначения вида, качества, количества, назначения, стоимости, места происхождения продуктов или времени их изготовлени</w:t>
      </w:r>
      <w:r>
        <w:rPr>
          <w:rFonts w:ascii="PT Sans" w:hAnsi="PT Sans" w:eastAsia="PT Sans" w:cs="PT Sans"/>
          <w:color w:val="262626"/>
          <w:sz w:val="24"/>
        </w:rPr>
        <w:t xml:space="preserve">я, либо ставших общепринятыми в обиходном языке или в добросовестных и устоявшихся торговых обычаях страны, где испрашивается охрана;</w:t>
        <w:br/>
      </w:r>
      <w:r/>
    </w:p>
    <w:p>
      <w:pPr>
        <w:pStyle w:val="834"/>
        <w:numPr>
          <w:ilvl w:val="0"/>
          <w:numId w:val="1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знаки противоречат морали или публичному порядку и, в особенности, если они могут ввести в заблуждение общественность. Подразумевается, что знак не может рассматриваться как противоречащий публичному порядку по той единственной причине, что он не соот</w:t>
      </w:r>
      <w:r>
        <w:rPr>
          <w:rFonts w:ascii="PT Sans" w:hAnsi="PT Sans" w:eastAsia="PT Sans" w:cs="PT Sans"/>
          <w:color w:val="262626"/>
          <w:sz w:val="24"/>
        </w:rPr>
        <w:t xml:space="preserve">ветствует какому-либо положению законодательства о знаках, за исключением случая, когда само это положение касается публичного порядка. </w:t>
        <w:br/>
        <w:t xml:space="preserve">Однако сохраняется применение статьи 10-bis.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  <w:highlight w:val="white"/>
        </w:rPr>
        <w:t xml:space="preserve">С.</w:t>
      </w:r>
      <w:r/>
    </w:p>
    <w:p>
      <w:pPr>
        <w:pStyle w:val="834"/>
        <w:numPr>
          <w:ilvl w:val="0"/>
          <w:numId w:val="2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Чтобы определить, может ли быть знак предметом охраны, необходимо учитывать все фактические обстоятельства, особенно продолжительность применения знака.</w:t>
        <w:br/>
      </w:r>
      <w:r/>
    </w:p>
    <w:p>
      <w:pPr>
        <w:pStyle w:val="834"/>
        <w:numPr>
          <w:ilvl w:val="0"/>
          <w:numId w:val="2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Не могут быть отклонены в других странах Союза товарные знаки на том единственном основании, что они отличаются от знаков, охраняемых в стране происхождения, лишь элементами, не изменяющими отличительный характер знаков и не затрагивающими тождественность </w:t>
      </w:r>
      <w:r>
        <w:rPr>
          <w:rFonts w:ascii="PT Sans" w:hAnsi="PT Sans" w:eastAsia="PT Sans" w:cs="PT Sans"/>
          <w:color w:val="262626"/>
          <w:sz w:val="24"/>
        </w:rPr>
        <w:t xml:space="preserve">знаков в той форме, в которой они были зарегистрированы в упомянутой стране происхождения.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D.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Никто не может воспользоваться положениями настоящей статьи, если знак, на который испрашивается охрана, не зарегистрирован в стране происхождения.</w:t>
        <w:br/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E.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Однако возобновление регистрации знака в стране происхождения ни в коем случае не влечет за собой обязательства возобновить регистрацию в других странах Союза, где знак был зарегистрирован.</w:t>
        <w:br/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262626"/>
          <w:sz w:val="24"/>
        </w:rPr>
        <w:t xml:space="preserve">F.</w:t>
      </w:r>
      <w:r/>
    </w:p>
    <w:p>
      <w:pPr>
        <w:ind w:left="0" w:right="0" w:firstLin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Преимущества, вытекающие из приоритета, сохраняются за заявками, поданными на регистрацию знака в срок, указанный в статье 4, даже если регистрация в стране происхождения осуществлена по истечении этого срока.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6-sexies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знаки обслуживания]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обязуются охранять знаки обслуживания. Они не обязаны предусматривать регистрацию этих знаков.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6-septies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регистрация агентом или представителем владельца без разрешения последнего]</w:t>
      </w:r>
      <w:r/>
    </w:p>
    <w:p>
      <w:pPr>
        <w:pStyle w:val="834"/>
        <w:numPr>
          <w:ilvl w:val="0"/>
          <w:numId w:val="2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агент или представитель того, кто является владельцем знака в одной из стран Союза, подает без разрешения владельца заявку на регистрацию этого знака от своего собственного имени в одной или в нескольких таких странах, владелец имеет право воспрепятст</w:t>
      </w:r>
      <w:r>
        <w:rPr>
          <w:rFonts w:ascii="PT Sans" w:hAnsi="PT Sans" w:eastAsia="PT Sans" w:cs="PT Sans"/>
          <w:color w:val="262626"/>
          <w:sz w:val="24"/>
        </w:rPr>
        <w:t xml:space="preserve">вовать регистрации или потребовать ее аннулирования либо, если закон страны это разрешает, переоформления регистрации в свою пользу, если только агент или представитель не представит доказательств, оправдывающих его действие.</w:t>
        <w:br/>
      </w:r>
      <w:r/>
    </w:p>
    <w:p>
      <w:pPr>
        <w:pStyle w:val="834"/>
        <w:numPr>
          <w:ilvl w:val="0"/>
          <w:numId w:val="2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Владелец знака имеет право, при наличии условий, предусмотренных в пункте (1), воспрепятствовать использованию знака агентом или представителем, если только он не давал согласия на такое использование.</w:t>
        <w:br/>
      </w:r>
      <w:r/>
    </w:p>
    <w:p>
      <w:pPr>
        <w:pStyle w:val="834"/>
        <w:numPr>
          <w:ilvl w:val="0"/>
          <w:numId w:val="2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Национальным законодательством может быть установлен справедливый срок, в течение которого владелец знака должен воспользоваться правами, предусмотренными в данной статье.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7.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характер маркируемого продукта]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Характер продукта, для которого предназначен товарный знак, ни в коем случае не может служить препятствием к регистрации знака.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7-bis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[Знаки: коллективные знаки]</w:t>
      </w:r>
      <w:r/>
    </w:p>
    <w:p>
      <w:pPr>
        <w:pStyle w:val="834"/>
        <w:numPr>
          <w:ilvl w:val="0"/>
          <w:numId w:val="2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обязуются принимать заявки на регистрацию и охранять коллективные знаки, принадлежащие коллективам, существование которых не противоречит закону страны происхождения, даже если эти коллективы не являются владельцами промышленного или торгового</w:t>
      </w:r>
      <w:r>
        <w:rPr>
          <w:rFonts w:ascii="PT Sans" w:hAnsi="PT Sans" w:eastAsia="PT Sans" w:cs="PT Sans"/>
          <w:color w:val="262626"/>
          <w:sz w:val="24"/>
        </w:rPr>
        <w:t xml:space="preserve"> предприятия.</w:t>
        <w:br/>
      </w:r>
      <w:r/>
    </w:p>
    <w:p>
      <w:pPr>
        <w:pStyle w:val="834"/>
        <w:numPr>
          <w:ilvl w:val="0"/>
          <w:numId w:val="2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Каждая страна сама определяет особые условия охраны коллективного знака и может отказать в охране, если этот знак противоречит публичным интересам.</w:t>
        <w:br/>
      </w:r>
      <w:r/>
    </w:p>
    <w:p>
      <w:pPr>
        <w:pStyle w:val="834"/>
        <w:numPr>
          <w:ilvl w:val="0"/>
          <w:numId w:val="2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Однако в охране таких знаков не может быть отказано коллективу, существование которого не противоречит закону страны происхождения, на том основании, что этот коллектив не находится в стране, где испрашивается охрана, или что он основан не в соответствии с</w:t>
      </w:r>
      <w:r>
        <w:rPr>
          <w:rFonts w:ascii="PT Sans" w:hAnsi="PT Sans" w:eastAsia="PT Sans" w:cs="PT Sans"/>
          <w:color w:val="262626"/>
          <w:sz w:val="24"/>
        </w:rPr>
        <w:t xml:space="preserve"> законодательством этой страны.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8.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[Фирменные наименования]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Фирменное наименование охраняется во всех странах Союза без обязательной подачи заявки или регистрации и независимо от того, является ли оно частью товарного знака.</w:t>
        <w:br/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9.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[Знаки, фирменные наименования: арест при ввозе продуктов, незаконно снабженных товарным знаком или фирменным наименованием]</w:t>
      </w:r>
      <w:r/>
    </w:p>
    <w:p>
      <w:pPr>
        <w:pStyle w:val="834"/>
        <w:numPr>
          <w:ilvl w:val="0"/>
          <w:numId w:val="2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На любой продукт, незаконно снабженный товарным знаком или фирменным наименованием, налагается арест при ввозе в те страны Союза, в которых этот знак или фирменное наименование имеют право на законную охрану.</w:t>
        <w:br/>
      </w:r>
      <w:r/>
    </w:p>
    <w:p>
      <w:pPr>
        <w:pStyle w:val="834"/>
        <w:numPr>
          <w:ilvl w:val="0"/>
          <w:numId w:val="2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Равным образом арест налагается в стране, где была осуществлена незаконная маркировка, или в странах, куда был ввезен продукт.</w:t>
        <w:br/>
      </w:r>
      <w:r/>
    </w:p>
    <w:p>
      <w:pPr>
        <w:pStyle w:val="834"/>
        <w:numPr>
          <w:ilvl w:val="0"/>
          <w:numId w:val="2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Арест налагается в соответствии с внутренним законодательством каждой страны по требованию прокуратуры, или любого другого компетентного органа, или заинтересованной стороны - физического или юридического лица.</w:t>
        <w:br/>
      </w:r>
      <w:r/>
    </w:p>
    <w:p>
      <w:pPr>
        <w:pStyle w:val="834"/>
        <w:numPr>
          <w:ilvl w:val="0"/>
          <w:numId w:val="2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Органы власти не обязаны налагать арест в случае провоза продуктов транзитом.</w:t>
        <w:br/>
      </w:r>
      <w:r/>
    </w:p>
    <w:p>
      <w:pPr>
        <w:pStyle w:val="834"/>
        <w:numPr>
          <w:ilvl w:val="0"/>
          <w:numId w:val="2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законодательство страны не допускает наложения ареста при ввозе, арест заменяется запрещением ввоза или арестом внутри страны.</w:t>
        <w:br/>
      </w:r>
      <w:r/>
    </w:p>
    <w:p>
      <w:pPr>
        <w:pStyle w:val="834"/>
        <w:numPr>
          <w:ilvl w:val="0"/>
          <w:numId w:val="2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Если законодательство страны не допускает ни наложения ареста при ввозе, ни запрещения ввоза, ни наложения ареста внутри страны, то до соответствующего изменения такого законодательства эти меры заменяются такими действиями и средствами, которыми закон дан</w:t>
      </w:r>
      <w:r>
        <w:rPr>
          <w:rFonts w:ascii="PT Sans" w:hAnsi="PT Sans" w:eastAsia="PT Sans" w:cs="PT Sans"/>
          <w:color w:val="262626"/>
          <w:sz w:val="24"/>
        </w:rPr>
        <w:t xml:space="preserve">ной страны обеспечил бы в подобном случае права граждан этой страны.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10.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[Ложные указания: арест при ввозе продуктов, снабженных ложным указанием о происхождении продуктов или личности производителя и т.д. ]</w:t>
      </w:r>
      <w:r/>
    </w:p>
    <w:p>
      <w:pPr>
        <w:pStyle w:val="834"/>
        <w:numPr>
          <w:ilvl w:val="0"/>
          <w:numId w:val="2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Положения предшествующей статьи применяются в случае прямого или косвенного использования ложных указаний о происхождении продуктов или подлинности личности изготовителя, промышленника или торговца.</w:t>
        <w:br/>
      </w:r>
      <w:r/>
    </w:p>
    <w:p>
      <w:pPr>
        <w:pStyle w:val="834"/>
        <w:numPr>
          <w:ilvl w:val="0"/>
          <w:numId w:val="2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Заинтересованной стороной, независимо от того, является ли ею физическое или юридическое лицо, признается всякий изготовитель, промышленник или торговец, занимающийся производством, изготовлением или сбытом этого продукта, обосновавшийся либо в местности, </w:t>
      </w:r>
      <w:r>
        <w:rPr>
          <w:rFonts w:ascii="PT Sans" w:hAnsi="PT Sans" w:eastAsia="PT Sans" w:cs="PT Sans"/>
          <w:color w:val="262626"/>
          <w:sz w:val="24"/>
        </w:rPr>
        <w:t xml:space="preserve">ложно указанной в качестве места происхождения продукта, либо в районе, где находится эта местность, либо в ложно указанной стране или в стране, где применяется ложное указание о происхождении.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10-bis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[Недобросовестная конкуренция]</w:t>
      </w:r>
      <w:r/>
    </w:p>
    <w:p>
      <w:pPr>
        <w:pStyle w:val="834"/>
        <w:numPr>
          <w:ilvl w:val="0"/>
          <w:numId w:val="2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обязаны обеспечить гражданам стран, участвующих в Союзе, эффективную защиту от недобросовестной конкуренции.</w:t>
        <w:br/>
      </w:r>
      <w:r/>
    </w:p>
    <w:p>
      <w:pPr>
        <w:pStyle w:val="834"/>
        <w:numPr>
          <w:ilvl w:val="0"/>
          <w:numId w:val="2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Актом недобросовестной конкуренции считается всякий акт конкуренции, противоречащий честным обычаям в промышленных и торговых делах.</w:t>
        <w:br/>
      </w:r>
      <w:r/>
    </w:p>
    <w:p>
      <w:pPr>
        <w:pStyle w:val="834"/>
        <w:numPr>
          <w:ilvl w:val="0"/>
          <w:numId w:val="2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частности, подлежат запрету:</w:t>
        <w:br/>
      </w:r>
      <w:r/>
    </w:p>
    <w:p>
      <w:pPr>
        <w:pStyle w:val="834"/>
        <w:numPr>
          <w:ilvl w:val="0"/>
          <w:numId w:val="2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все действия, способные каким бы то ни было способом вызвать смешение в отношении предприятия, продуктов или промышленной или торговой деятельности конкурента;</w:t>
        <w:br/>
      </w:r>
      <w:r/>
    </w:p>
    <w:p>
      <w:pPr>
        <w:pStyle w:val="834"/>
        <w:numPr>
          <w:ilvl w:val="0"/>
          <w:numId w:val="2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ложные утверждения при осуществлении коммерческой деятельности, способные дискредитировать предприятие, продукты или промышленную или торговую деятельность конкурента;</w:t>
        <w:br/>
      </w:r>
      <w:r/>
    </w:p>
    <w:p>
      <w:pPr>
        <w:pStyle w:val="834"/>
        <w:numPr>
          <w:ilvl w:val="0"/>
          <w:numId w:val="2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указания или утверждения, использование которых при осуществлении коммерческой деятельности может ввести общественность в заблуждение относительно характера, способа изготовления, свойств, пригодности к применению или количества товаров.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10-ter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[Товарные знаки, фирменные наименования, ложные указания, недобросовестная конкуренция: средства защиты, право обращаться в суд]</w:t>
      </w:r>
      <w:r/>
    </w:p>
    <w:p>
      <w:pPr>
        <w:pStyle w:val="834"/>
        <w:numPr>
          <w:ilvl w:val="0"/>
          <w:numId w:val="2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обязуются обеспечить гражданам других стран Союза законные средства для эффективного пресечения всех действий, указанных в статьях 9, 10 и 10-bis.</w:t>
        <w:br/>
      </w:r>
      <w:r/>
    </w:p>
    <w:p>
      <w:pPr>
        <w:pStyle w:val="834"/>
        <w:numPr>
          <w:ilvl w:val="0"/>
          <w:numId w:val="2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Кроме того, они обязуются предусмотреть меры, позволяющие союзам и объединениям, существование которых не противоречит законам их стран и которые представляют заинтересованных промышленников, изготовителей или торговцев, действовать через суд или администр</w:t>
      </w:r>
      <w:r>
        <w:rPr>
          <w:rFonts w:ascii="PT Sans" w:hAnsi="PT Sans" w:eastAsia="PT Sans" w:cs="PT Sans"/>
          <w:color w:val="262626"/>
          <w:sz w:val="24"/>
        </w:rPr>
        <w:t xml:space="preserve">ативные органы с целью пресечения действий, предусмотренных в статьях 9, 10 и 10bis в той мере, в какой это допускает закон страны, где испрашивается охрана, для союзов и объединений данной страны.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11.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[Изобретения, полезные модели, промышленные образцы, товарные знаки: временная охрана на определенных международных выставках]</w:t>
      </w:r>
      <w:r/>
    </w:p>
    <w:p>
      <w:pPr>
        <w:pStyle w:val="834"/>
        <w:numPr>
          <w:ilvl w:val="0"/>
          <w:numId w:val="2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 предоставляют в соответствии со своим внутренним законодательством временную охрану патентоспособных изобретений, полезных моделей, промышленных образцов, а также товарных знаков для продуктов, экспонируемых на официальных или официально призн</w:t>
      </w:r>
      <w:r>
        <w:rPr>
          <w:rFonts w:ascii="PT Sans" w:hAnsi="PT Sans" w:eastAsia="PT Sans" w:cs="PT Sans"/>
          <w:color w:val="262626"/>
          <w:sz w:val="24"/>
        </w:rPr>
        <w:t xml:space="preserve">анных международных выставках, организованных на территории одной из этих стран.</w:t>
        <w:br/>
      </w:r>
      <w:r/>
    </w:p>
    <w:p>
      <w:pPr>
        <w:pStyle w:val="834"/>
        <w:numPr>
          <w:ilvl w:val="0"/>
          <w:numId w:val="2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Эта временная охрана не продлевает сроков, установленных в статье 4. Если позднее будет истребовано право приоритета, то компетентное учреждение каждой страны сможет исчислять срок с даты помещения продукта на выставку.</w:t>
        <w:br/>
      </w:r>
      <w:r/>
    </w:p>
    <w:p>
      <w:pPr>
        <w:pStyle w:val="834"/>
        <w:numPr>
          <w:ilvl w:val="0"/>
          <w:numId w:val="2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Каждая страна может требовать для доказательства идентичности экспонируемого предмета и даты помещения его на выставку такие документы, которые она сочтет необходимыми.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12.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[Специальные национальные службы по делам промышленной собственности]</w:t>
      </w:r>
      <w:r/>
    </w:p>
    <w:p>
      <w:pPr>
        <w:pStyle w:val="834"/>
        <w:numPr>
          <w:ilvl w:val="0"/>
          <w:numId w:val="2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Каждая страна Союза обязуется создать специальную службу по делам промышленной собственности и центральное хранилище для ознакомления общественности с патентами на изобретения, полезными моделями, промышленными образцами и товарными знаками.</w:t>
        <w:br/>
      </w:r>
      <w:r/>
    </w:p>
    <w:p>
      <w:pPr>
        <w:pStyle w:val="834"/>
        <w:numPr>
          <w:ilvl w:val="0"/>
          <w:numId w:val="2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Эта служба издает официальный периодический бюллетень. Она регулярно публикует:</w:t>
        <w:br/>
      </w:r>
      <w:r/>
    </w:p>
    <w:p>
      <w:pPr>
        <w:pStyle w:val="834"/>
        <w:numPr>
          <w:ilvl w:val="0"/>
          <w:numId w:val="29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фамилии владельцев выданных патентов с кратким наименованием запатентованных изобретений;</w:t>
        <w:br/>
        <w:t xml:space="preserve">(b) репродукции зарегистрированных знаков.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13.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[Ассамблея Союза]</w:t>
      </w:r>
      <w:r/>
    </w:p>
    <w:p>
      <w:pPr>
        <w:pStyle w:val="834"/>
        <w:numPr>
          <w:ilvl w:val="0"/>
          <w:numId w:val="3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31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Союз имеет Ассамблею, состоящую из стран Союза, связанных статьями с 13 по 17.</w:t>
        <w:br/>
        <w:t xml:space="preserve">(b) Правительство каждой страны представлено одним делегатом, который может иметь заместителей, советников и экспертов.</w:t>
        <w:br/>
        <w:t xml:space="preserve">(c) Расходы каждой делегации несет назначившее ее пра</w:t>
      </w:r>
      <w:r>
        <w:rPr>
          <w:rFonts w:ascii="PT Sans" w:hAnsi="PT Sans" w:eastAsia="PT Sans" w:cs="PT Sans"/>
          <w:color w:val="262626"/>
          <w:sz w:val="24"/>
        </w:rPr>
        <w:t xml:space="preserve">вительство.</w:t>
      </w:r>
      <w:r/>
    </w:p>
    <w:p>
      <w:pPr>
        <w:pStyle w:val="834"/>
        <w:numPr>
          <w:ilvl w:val="0"/>
          <w:numId w:val="3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33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Ассамблея:</w:t>
        <w:br/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(i) рассматривает все вопросы, относящиеся к сохранению и развитию Союза и применению настоящей Конвенции;</w:t>
        <w:br/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(ii) дает Международному бюро интеллектуальной собственности (далее именуемому "Международным бюро"), предусмотренному в Конвенции, учреждающей Всемирную Организацию Интеллектуальной Собственности (далее именуемую "Организацией"), указания относительно под</w:t>
      </w:r>
      <w:r>
        <w:rPr>
          <w:rFonts w:ascii="PT Sans" w:hAnsi="PT Sans" w:eastAsia="PT Sans" w:cs="PT Sans"/>
          <w:color w:val="262626"/>
          <w:sz w:val="24"/>
        </w:rPr>
        <w:t xml:space="preserve">готовки конференций по пересмотру, уделяя при этом должное внимание замечаниям стран Союза, не связанных статьями с 13 по 17;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(iii) рассматривает и утверждает отчеты и деятельность Генерального Директора Организации, относящиеся к Союзу, и дает ему все необходимые инструкции по вопросам, входящим в компетенцию Союза;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(iv) избирает членов Исполнительного комитета Ассамблеи;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(v) рассматривает и утверждает отчеты и одобряет деятельность своего Исполнительного комитета, а также дает ему инструкции;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(vi) определяет программу, принимает трехгодичный бюджет Союза и утверждает его финансовые отчеты;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(vii) утверждает финансовый регламент Союза;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(vii) создает такие комитеты экспертов и рабочие группы, какие считает необходимыми для осуществления целей Союза;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(viii) определяет, какие страны, не являющиеся членами Союза, и какие межправительственные и международные неправительственные организации могут быть допущены на ее заседания в качестве наблюдателей;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(ix) принимает поправки к статьям с 13 по 17;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(x) осуществляет любые другие надлежащие действия, направленные на достижение целей Союза;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(xi) выполняет все другие функции, вытекающие из настоящей Конвенции;</w:t>
      </w:r>
      <w:r/>
    </w:p>
    <w:p>
      <w:pPr>
        <w:pStyle w:val="834"/>
        <w:numPr>
          <w:ilvl w:val="0"/>
          <w:numId w:val="33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(xii) при условии ее согласия осуществляет такие права, какие ей предоставлены Конвенцией, учреждающей Организацию.</w:t>
      </w:r>
      <w:r/>
    </w:p>
    <w:p>
      <w:pPr>
        <w:pStyle w:val="834"/>
        <w:numPr>
          <w:ilvl w:val="0"/>
          <w:numId w:val="33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(b) По вопросам, представляющим интерес также для других Союзов, администрацию которых осуществляет Организация. Ассамблея принимает решения, заслушав мнение Координационного комитета Организации.</w:t>
      </w:r>
      <w:r/>
    </w:p>
    <w:p>
      <w:pPr>
        <w:pStyle w:val="834"/>
        <w:numPr>
          <w:ilvl w:val="0"/>
          <w:numId w:val="3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35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При условии соблюдения положений подпункта (b) делегат может представлять лишь одну страну.</w:t>
        <w:br/>
        <w:t xml:space="preserve">(b) Страны Союза, объединившиеся в соответствии с особым соглашением и создавшие общее ведомство, имеющее для каждой из них значение специальной национальной сл</w:t>
      </w:r>
      <w:r>
        <w:rPr>
          <w:rFonts w:ascii="PT Sans" w:hAnsi="PT Sans" w:eastAsia="PT Sans" w:cs="PT Sans"/>
          <w:color w:val="262626"/>
          <w:sz w:val="24"/>
        </w:rPr>
        <w:t xml:space="preserve">ужбы промышленной собственности, предусмотренной в статье 12, могут быть совместно представлены во время дискуссии одной из них.</w:t>
      </w:r>
      <w:r/>
    </w:p>
    <w:p>
      <w:pPr>
        <w:pStyle w:val="834"/>
        <w:numPr>
          <w:ilvl w:val="0"/>
          <w:numId w:val="3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37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Каждая страна - член Ассамблеи имеет один голос.</w:t>
        <w:br/>
        <w:t xml:space="preserve">(b) Половина стран - членов Ассамблеи составляет кворум.</w:t>
        <w:br/>
        <w:t xml:space="preserve">(c) Несмотря на положение подпункта (b), если на какой-либо сессии количество представленных стран составляет менее половины, но равно или превыша</w:t>
      </w:r>
      <w:r>
        <w:rPr>
          <w:rFonts w:ascii="PT Sans" w:hAnsi="PT Sans" w:eastAsia="PT Sans" w:cs="PT Sans"/>
          <w:color w:val="262626"/>
          <w:sz w:val="24"/>
        </w:rPr>
        <w:t xml:space="preserve">ет одну треть стран - членов Ассамблеи, она может принимать решения, однако все решения Ассамблеи, за исключением решений, относящихся к ее собственным правилам процедуры, вступают в силу лишь при соблюдении нижеследующих условий. Международное бюро направ</w:t>
      </w:r>
      <w:r>
        <w:rPr>
          <w:rFonts w:ascii="PT Sans" w:hAnsi="PT Sans" w:eastAsia="PT Sans" w:cs="PT Sans"/>
          <w:color w:val="262626"/>
          <w:sz w:val="24"/>
        </w:rPr>
        <w:t xml:space="preserve">ляет упомянутые решения странам - членам Ассамблеи, которые не были на ней представлены, и приглашает их сообщить в письменном виде в трехмесячный срок, считая с даты направления решений, голосуют ли они за эти решения, против них или воздерживаются. Если </w:t>
      </w:r>
      <w:r>
        <w:rPr>
          <w:rFonts w:ascii="PT Sans" w:hAnsi="PT Sans" w:eastAsia="PT Sans" w:cs="PT Sans"/>
          <w:color w:val="262626"/>
          <w:sz w:val="24"/>
        </w:rPr>
        <w:t xml:space="preserve">по истечении этого срока количество стран, таким образом проголосовавших или сообщивших, что они воздержались, достигнет того количества, которого недоставало для достижения кворума на самой сессии, такие решения вступают в силу, при условии, что одновреме</w:t>
      </w:r>
      <w:r>
        <w:rPr>
          <w:rFonts w:ascii="PT Sans" w:hAnsi="PT Sans" w:eastAsia="PT Sans" w:cs="PT Sans"/>
          <w:color w:val="262626"/>
          <w:sz w:val="24"/>
        </w:rPr>
        <w:t xml:space="preserve">нно сохраняется необходимое большинство.</w:t>
        <w:br/>
        <w:t xml:space="preserve">(d) При условии соблюдения положений статьи 17 (2), Ассамблея принимает свои решения большинством в две трети поданных голосов.</w:t>
        <w:br/>
        <w:t xml:space="preserve">(e) Голоса воздержавшихся в расчет не принимаются.</w:t>
      </w:r>
      <w:r/>
    </w:p>
    <w:p>
      <w:pPr>
        <w:pStyle w:val="834"/>
        <w:numPr>
          <w:ilvl w:val="0"/>
          <w:numId w:val="3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39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За исключением случаев, предусмотренных в подпункте (b), делегат может голосовать только от имени одной страны.</w:t>
        <w:br/>
        <w:t xml:space="preserve">(b) Страны Союза, предусмотренные в пункте (3) (b), должны, как правило, стремиться к тому, чтобы быть представленными на сессиях Ассамблеи </w:t>
      </w:r>
      <w:r>
        <w:rPr>
          <w:rFonts w:ascii="PT Sans" w:hAnsi="PT Sans" w:eastAsia="PT Sans" w:cs="PT Sans"/>
          <w:color w:val="262626"/>
          <w:sz w:val="24"/>
        </w:rPr>
        <w:t xml:space="preserve">своими собственными делегациями. Если, однако, в силу исключительных обстоятельств какая-либо из указанных стран не может быть представлена своей собственной делегацией, она вправе предоставить делегации какой-либо другой из этих стран полномочия голосоват</w:t>
      </w:r>
      <w:r>
        <w:rPr>
          <w:rFonts w:ascii="PT Sans" w:hAnsi="PT Sans" w:eastAsia="PT Sans" w:cs="PT Sans"/>
          <w:color w:val="262626"/>
          <w:sz w:val="24"/>
        </w:rPr>
        <w:t xml:space="preserve">ь от ее имени, при условии, что одна делегация может голосовать по доверенности только за одну страну. Такие полномочия должны быть определены в документе, подписанном главой государства или компетентным министром.</w:t>
      </w:r>
      <w:r/>
    </w:p>
    <w:p>
      <w:pPr>
        <w:pStyle w:val="834"/>
        <w:numPr>
          <w:ilvl w:val="0"/>
          <w:numId w:val="4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 Страны Союза, не являющиеся членами Ассамблеи, допускаются на ее заседания в качестве наблюдателей.</w:t>
        <w:br/>
      </w:r>
      <w:r/>
    </w:p>
    <w:p>
      <w:pPr>
        <w:pStyle w:val="834"/>
        <w:numPr>
          <w:ilvl w:val="0"/>
          <w:numId w:val="4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41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Ассамблея собирается на очередную сессию раз в три года по созыву Генерального Директора и, кроме исключительных случаев, в то же время и в том же месте, что и Генеральная Ассамблея Организации.</w:t>
        <w:br/>
        <w:t xml:space="preserve">(b) Ассамблея собирается на чрезвычайную сессию, созываем</w:t>
      </w:r>
      <w:r>
        <w:rPr>
          <w:rFonts w:ascii="PT Sans" w:hAnsi="PT Sans" w:eastAsia="PT Sans" w:cs="PT Sans"/>
          <w:color w:val="262626"/>
          <w:sz w:val="24"/>
        </w:rPr>
        <w:t xml:space="preserve">ую Генеральным Директором, по требованию Исполнительного комитета или по требованию одной четверти стран - членов Ассамблеи.</w:t>
      </w:r>
      <w:r/>
    </w:p>
    <w:p>
      <w:pPr>
        <w:pStyle w:val="834"/>
        <w:numPr>
          <w:ilvl w:val="0"/>
          <w:numId w:val="4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 Ассамблея принимает свои правила процедуры.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14.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[Исполнительный комитет]</w:t>
      </w:r>
      <w:r/>
    </w:p>
    <w:p>
      <w:pPr>
        <w:pStyle w:val="834"/>
        <w:numPr>
          <w:ilvl w:val="0"/>
          <w:numId w:val="4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Ассамблея имеет Исполнительный комитет.</w:t>
        <w:br/>
      </w:r>
      <w:r/>
    </w:p>
    <w:p>
      <w:pPr>
        <w:pStyle w:val="834"/>
        <w:numPr>
          <w:ilvl w:val="0"/>
          <w:numId w:val="4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44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Исполнительный комитет состоит из стран, избранных Ассамблеей из числа стран - членов Ассамблеи. Кроме того, страна, на территории которой Организация имеет свою штаб-квартиру, располагает в Комитете ex officio одним местом, при условии соблюдения поло</w:t>
      </w:r>
      <w:r>
        <w:rPr>
          <w:rFonts w:ascii="PT Sans" w:hAnsi="PT Sans" w:eastAsia="PT Sans" w:cs="PT Sans"/>
          <w:color w:val="262626"/>
          <w:sz w:val="24"/>
        </w:rPr>
        <w:t xml:space="preserve">жений статьи 16 (7) (b).</w:t>
        <w:br/>
        <w:br/>
        <w:t xml:space="preserve">(b) Правительство каждой страны - члена Исполнительного комитета представлено одним делегатом, который может иметь заместителей, советников и экспертов.</w:t>
        <w:br/>
        <w:br/>
        <w:t xml:space="preserve">(c) Расходы каждой делегации несет назначившее ее правительство.</w:t>
        <w:br/>
      </w:r>
      <w:r/>
    </w:p>
    <w:p>
      <w:pPr>
        <w:pStyle w:val="834"/>
        <w:numPr>
          <w:ilvl w:val="0"/>
          <w:numId w:val="4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Количество стран - членов Исполнительного комитета составляет одну четвертую часть количества стран - членов Ассамблеи. При определении количества мест, подлежащих заполнению, остаток, получающийся после деления на четыре, в расчет не принимается.</w:t>
        <w:br/>
      </w:r>
      <w:r/>
    </w:p>
    <w:p>
      <w:pPr>
        <w:pStyle w:val="834"/>
        <w:numPr>
          <w:ilvl w:val="0"/>
          <w:numId w:val="4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При выборах членов Исполнительного комитета Ассамблея уделяет должное внимание справедливому географическому распределению, а также необходимости для стран - участниц специальных соглашений, заключенных в связи с Союзом, быть в числе стран, составляющих Ис</w:t>
      </w:r>
      <w:r>
        <w:rPr>
          <w:rFonts w:ascii="PT Sans" w:hAnsi="PT Sans" w:eastAsia="PT Sans" w:cs="PT Sans"/>
          <w:color w:val="262626"/>
          <w:sz w:val="24"/>
        </w:rPr>
        <w:t xml:space="preserve">полнительный комитет.</w:t>
        <w:br/>
      </w:r>
      <w:r/>
    </w:p>
    <w:p>
      <w:pPr>
        <w:pStyle w:val="834"/>
        <w:numPr>
          <w:ilvl w:val="0"/>
          <w:numId w:val="4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45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Члены Исполнительного комитета осуществляют свои функции от закрытия сессии Ассамблеи, на которой они были избраны, до закрытия следующей очередной сессии Ассамблеи.</w:t>
        <w:br/>
        <w:t xml:space="preserve">(b) Члены Исполнительного комитета могут быть переизбраны, но в количестве, не превыша</w:t>
      </w:r>
      <w:r>
        <w:rPr>
          <w:rFonts w:ascii="PT Sans" w:hAnsi="PT Sans" w:eastAsia="PT Sans" w:cs="PT Sans"/>
          <w:color w:val="262626"/>
          <w:sz w:val="24"/>
        </w:rPr>
        <w:t xml:space="preserve">ющем двух третей их состава.</w:t>
        <w:br/>
        <w:t xml:space="preserve">(c) Ассамблея устанавливает подробные правила выборов и возможных перевыборов членов Исполнительного комитета.</w:t>
      </w:r>
      <w:r/>
    </w:p>
    <w:p>
      <w:pPr>
        <w:pStyle w:val="834"/>
        <w:numPr>
          <w:ilvl w:val="0"/>
          <w:numId w:val="4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46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Исполнительный комитет:</w:t>
        <w:br/>
      </w:r>
      <w:r/>
    </w:p>
    <w:p>
      <w:pPr>
        <w:pStyle w:val="834"/>
        <w:numPr>
          <w:ilvl w:val="0"/>
          <w:numId w:val="46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(i) подготавливает проект повестки дня Ассамблеи;</w:t>
        <w:br/>
        <w:t xml:space="preserve">(ii) представляет Ассамблее предложения, касающиеся проектов программы и трехгодичного бюджета Союза, подготовленных Генеральным Директором;</w:t>
        <w:br/>
        <w:t xml:space="preserve">(iii) принимает в пределах программы и трехгодичного бюджета годо</w:t>
      </w:r>
      <w:r>
        <w:rPr>
          <w:rFonts w:ascii="PT Sans" w:hAnsi="PT Sans" w:eastAsia="PT Sans" w:cs="PT Sans"/>
          <w:color w:val="262626"/>
          <w:sz w:val="24"/>
        </w:rPr>
        <w:t xml:space="preserve">вые программы и бюджеты, подготовленные Генеральным Директором;</w:t>
        <w:br/>
        <w:t xml:space="preserve">(iv) представляет Ассамблее с соответствующими замечаниями периодические отчеты Генерального Директора и ежегодные акты финансовых ревизий;</w:t>
        <w:br/>
        <w:t xml:space="preserve">(v) в соответствии с решениями Ассамблеи и с учетом </w:t>
      </w:r>
      <w:r>
        <w:rPr>
          <w:rFonts w:ascii="PT Sans" w:hAnsi="PT Sans" w:eastAsia="PT Sans" w:cs="PT Sans"/>
          <w:color w:val="262626"/>
          <w:sz w:val="24"/>
        </w:rPr>
        <w:t xml:space="preserve">обстоятельств, возникших между двумя очередными сессиями Ассамблеи, принимает все необходимые меры, чтобы обеспечить выполнение Генеральным Директором программы Союза;</w:t>
        <w:br/>
        <w:t xml:space="preserve">(vi) выполняет все другие функции, возложенные на него в соответствии с настоящей Конвен</w:t>
      </w:r>
      <w:r>
        <w:rPr>
          <w:rFonts w:ascii="PT Sans" w:hAnsi="PT Sans" w:eastAsia="PT Sans" w:cs="PT Sans"/>
          <w:color w:val="262626"/>
          <w:sz w:val="24"/>
        </w:rPr>
        <w:t xml:space="preserve">цией.</w:t>
      </w:r>
      <w:r/>
    </w:p>
    <w:p>
      <w:pPr>
        <w:pStyle w:val="834"/>
        <w:numPr>
          <w:ilvl w:val="0"/>
          <w:numId w:val="46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(c) По вопросам, представляющим интерес также для других Союзов, администрацию которых осуществляет Организация, Исполнительный комитет принимает решения, заслушав мнение Координационного комитета Организации.</w:t>
      </w:r>
      <w:r/>
    </w:p>
    <w:p>
      <w:pPr>
        <w:pStyle w:val="834"/>
        <w:numPr>
          <w:ilvl w:val="0"/>
          <w:numId w:val="4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48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Исполнительный комитет собирается на очередную сессию раз в год по созыву Генерального Директора по возможности в то же время и в том же месте, что и Координационный комитет Организации.</w:t>
        <w:br/>
        <w:t xml:space="preserve">(b) Исполнительный комитет собирается на чрезвычайную сессию, соз</w:t>
      </w:r>
      <w:r>
        <w:rPr>
          <w:rFonts w:ascii="PT Sans" w:hAnsi="PT Sans" w:eastAsia="PT Sans" w:cs="PT Sans"/>
          <w:color w:val="262626"/>
          <w:sz w:val="24"/>
        </w:rPr>
        <w:t xml:space="preserve">ываемую Генеральным Директором либо по его собственной инициативе, либо по просьбе Председателя, либо по требованию одной четверти членов Исполнительного комитета.</w:t>
      </w:r>
      <w:r/>
    </w:p>
    <w:p>
      <w:pPr>
        <w:pStyle w:val="834"/>
        <w:numPr>
          <w:ilvl w:val="0"/>
          <w:numId w:val="4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50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Каждая страна - член Исполнительного комитета имеет один голос.</w:t>
        <w:br/>
        <w:t xml:space="preserve">(b) Половина стран - членов Исполнительного комитета составляет кворум.</w:t>
        <w:br/>
        <w:t xml:space="preserve">(c) Решения принимаются простым большинством поданных голосов.</w:t>
        <w:br/>
        <w:t xml:space="preserve">(d) Голоса воздержавшихся в расчет не принимаются.</w:t>
        <w:br/>
        <w:t xml:space="preserve">(e</w:t>
      </w:r>
      <w:r>
        <w:rPr>
          <w:rFonts w:ascii="PT Sans" w:hAnsi="PT Sans" w:eastAsia="PT Sans" w:cs="PT Sans"/>
          <w:color w:val="262626"/>
          <w:sz w:val="24"/>
        </w:rPr>
        <w:t xml:space="preserve">) Делегат может представлять только одну страну и голосовать лишь от ее имени.</w:t>
      </w:r>
      <w:r/>
    </w:p>
    <w:p>
      <w:pPr>
        <w:pStyle w:val="834"/>
        <w:numPr>
          <w:ilvl w:val="0"/>
          <w:numId w:val="5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Союза, не являющиеся членами Исполнительного комитета, допускаются на его заседания в качестве наблюдателей.</w:t>
        <w:br/>
      </w:r>
      <w:r/>
    </w:p>
    <w:p>
      <w:pPr>
        <w:pStyle w:val="834"/>
        <w:numPr>
          <w:ilvl w:val="0"/>
          <w:numId w:val="5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Исполнительный комитет принимает свои правила процедуры.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15.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[Международное бюро]</w:t>
      </w:r>
      <w:r/>
    </w:p>
    <w:p>
      <w:pPr>
        <w:pStyle w:val="834"/>
        <w:numPr>
          <w:ilvl w:val="0"/>
          <w:numId w:val="5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53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Административные задачи Союза осуществляются Международным бюро, являющимся преемником Бюро Союза, объединенного с Бюро Союза, учрежденного Международной конвенцией по охране литературных и художественных произведений.</w:t>
        <w:br/>
        <w:br/>
        <w:t xml:space="preserve">(b) Международное бюро выполняет</w:t>
      </w:r>
      <w:r>
        <w:rPr>
          <w:rFonts w:ascii="PT Sans" w:hAnsi="PT Sans" w:eastAsia="PT Sans" w:cs="PT Sans"/>
          <w:color w:val="262626"/>
          <w:sz w:val="24"/>
        </w:rPr>
        <w:t xml:space="preserve">, в частности, функции Секретариата различных органов Союза.</w:t>
        <w:br/>
        <w:br/>
        <w:t xml:space="preserve">(c) Генеральный Директор Организации является главным должностным лицом Союза и представляет Союз.</w:t>
        <w:br/>
      </w:r>
      <w:r/>
    </w:p>
    <w:p>
      <w:pPr>
        <w:pStyle w:val="834"/>
        <w:numPr>
          <w:ilvl w:val="0"/>
          <w:numId w:val="5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Международное бюро собирает и публикует информацию, касающуюся охраны промышленной собственности. Каждая страна Союза незамедлительно передает Международному бюро текст каждого нового закона и все официальные тексты, относящиеся к охране промышленной собст</w:t>
      </w:r>
      <w:r>
        <w:rPr>
          <w:rFonts w:ascii="PT Sans" w:hAnsi="PT Sans" w:eastAsia="PT Sans" w:cs="PT Sans"/>
          <w:color w:val="262626"/>
          <w:sz w:val="24"/>
        </w:rPr>
        <w:t xml:space="preserve">венности. Кроме того, она высылает Международному бюро все публикации своих компетентных служб в области промышленной собственности, которые имеют прямое отношение к охране промышленной собственности и которые Международное бюро может найти полезными для с</w:t>
      </w:r>
      <w:r>
        <w:rPr>
          <w:rFonts w:ascii="PT Sans" w:hAnsi="PT Sans" w:eastAsia="PT Sans" w:cs="PT Sans"/>
          <w:color w:val="262626"/>
          <w:sz w:val="24"/>
        </w:rPr>
        <w:t xml:space="preserve">воей деятельности.</w:t>
        <w:br/>
      </w:r>
      <w:r/>
    </w:p>
    <w:p>
      <w:pPr>
        <w:pStyle w:val="834"/>
        <w:numPr>
          <w:ilvl w:val="0"/>
          <w:numId w:val="5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Международное бюро издает ежемесячный журнал.</w:t>
        <w:br/>
      </w:r>
      <w:r/>
    </w:p>
    <w:p>
      <w:pPr>
        <w:pStyle w:val="834"/>
        <w:numPr>
          <w:ilvl w:val="0"/>
          <w:numId w:val="5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Международное бюро сообщает по запросу любой страны Союза сведения по вопросам охраны промышленной собственности.</w:t>
        <w:br/>
      </w:r>
      <w:r/>
    </w:p>
    <w:p>
      <w:pPr>
        <w:pStyle w:val="834"/>
        <w:numPr>
          <w:ilvl w:val="0"/>
          <w:numId w:val="5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Международное бюро проводит исследования и оказывает услуги, предназначенные облегчить охрану промышленной собственности.</w:t>
        <w:br/>
      </w:r>
      <w:r/>
    </w:p>
    <w:p>
      <w:pPr>
        <w:pStyle w:val="834"/>
        <w:numPr>
          <w:ilvl w:val="0"/>
          <w:numId w:val="5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Генеральный Директор и любой назначенный им член персонала участвуют без права голоса во всех заседаниях Ассамблеи, Исполнительного комитета и любого комитета экспертов или рабочей группы. Генеральный Директор или назначенный им член персонала является по </w:t>
      </w:r>
      <w:r>
        <w:rPr>
          <w:rFonts w:ascii="PT Sans" w:hAnsi="PT Sans" w:eastAsia="PT Sans" w:cs="PT Sans"/>
          <w:color w:val="262626"/>
          <w:sz w:val="24"/>
        </w:rPr>
        <w:t xml:space="preserve">своему должностному положению секретарем этих органов.</w:t>
        <w:br/>
      </w:r>
      <w:r/>
    </w:p>
    <w:p>
      <w:pPr>
        <w:pStyle w:val="834"/>
        <w:numPr>
          <w:ilvl w:val="0"/>
          <w:numId w:val="5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55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Международное бюро в соответствии с указаниями Ассамблеи и в сотрудничестве с Исполнительным комитетом подготавливает конференции по пересмотру положений Конвенции, не содержащихся в статьях с 13 по 17.</w:t>
        <w:br/>
        <w:t xml:space="preserve">(b) Международное бюро может консультироваться с </w:t>
      </w:r>
      <w:r>
        <w:rPr>
          <w:rFonts w:ascii="PT Sans" w:hAnsi="PT Sans" w:eastAsia="PT Sans" w:cs="PT Sans"/>
          <w:color w:val="262626"/>
          <w:sz w:val="24"/>
        </w:rPr>
        <w:t xml:space="preserve">межправительственными и международными неправительственными организациями по вопросам подготовки конференций по пересмотру.</w:t>
        <w:br/>
        <w:t xml:space="preserve">(c) Генеральный Директор и назначенные им лица принимают участие в работе этих конференций без права голоса.</w:t>
      </w:r>
      <w:r/>
    </w:p>
    <w:p>
      <w:pPr>
        <w:pStyle w:val="834"/>
        <w:numPr>
          <w:ilvl w:val="0"/>
          <w:numId w:val="5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Международное бюро выполняет любые другие возложенные на него задачи.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16.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[Финансы]</w:t>
      </w:r>
      <w:r/>
    </w:p>
    <w:p>
      <w:pPr>
        <w:pStyle w:val="834"/>
        <w:numPr>
          <w:ilvl w:val="0"/>
          <w:numId w:val="5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58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Союз имеет бюджет.</w:t>
        <w:br/>
        <w:br/>
        <w:t xml:space="preserve">(b) Бюджет Союза включает поступления и расходы собственно Союза, его взнос в бюджет расходов, общих для Союзов, а также в соответствующих случаях отчисления в бюджет Конференции Организации.</w:t>
        <w:br/>
        <w:br/>
        <w:t xml:space="preserve">(c) Расходами, общими для Союзов, счита</w:t>
      </w:r>
      <w:r>
        <w:rPr>
          <w:rFonts w:ascii="PT Sans" w:hAnsi="PT Sans" w:eastAsia="PT Sans" w:cs="PT Sans"/>
          <w:color w:val="262626"/>
          <w:sz w:val="24"/>
        </w:rPr>
        <w:t xml:space="preserve">ются такие, которые не относятся исключительно к данному Союзу, но одновременно к одному или нескольким другим Союзам, администрацию которых осуществляет Организация. Доля Союза в этих общих расходах соответствует его заинтересованности в данных расходах.</w:t>
        <w:br/>
      </w:r>
      <w:r/>
    </w:p>
    <w:p>
      <w:pPr>
        <w:pStyle w:val="834"/>
        <w:numPr>
          <w:ilvl w:val="0"/>
          <w:numId w:val="5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Бюджет Союза принимается с должным учетом требований координации с бюджетами других Союзов, администрацию которых осуществляет Организация.</w:t>
        <w:br/>
      </w:r>
      <w:r/>
    </w:p>
    <w:p>
      <w:pPr>
        <w:pStyle w:val="834"/>
        <w:numPr>
          <w:ilvl w:val="0"/>
          <w:numId w:val="5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Бюджет Союза финансируется из следующих источников:</w:t>
        <w:br/>
      </w:r>
      <w:r/>
    </w:p>
    <w:p>
      <w:pPr>
        <w:pStyle w:val="834"/>
        <w:numPr>
          <w:ilvl w:val="0"/>
          <w:numId w:val="60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(i) взносов стран Союза;</w:t>
        <w:br/>
        <w:br/>
        <w:t xml:space="preserve">(ii) сборов и платежей за предоставляемые Международным бюро услуги, относящиеся к Союзу;</w:t>
        <w:br/>
        <w:br/>
        <w:t xml:space="preserve">(iii) поступлений от продажи публикаций Международного бюро, относящихся к Союзу, и от передачи прав на такие публикации;</w:t>
        <w:br/>
        <w:br/>
        <w:t xml:space="preserve">(iv) даров, заве</w:t>
      </w:r>
      <w:r>
        <w:rPr>
          <w:rFonts w:ascii="PT Sans" w:hAnsi="PT Sans" w:eastAsia="PT Sans" w:cs="PT Sans"/>
          <w:color w:val="262626"/>
          <w:sz w:val="24"/>
        </w:rPr>
        <w:t xml:space="preserve">щанных средств и субсидий;</w:t>
        <w:br/>
        <w:br/>
        <w:t xml:space="preserve">(v) ренты, процентов и различных других доходов.</w:t>
      </w:r>
      <w:r/>
    </w:p>
    <w:p>
      <w:pPr>
        <w:pStyle w:val="834"/>
        <w:numPr>
          <w:ilvl w:val="0"/>
          <w:numId w:val="6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62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Для определения своего взноса в бюджет каждая страна Союза относится к определенному классу и уплачивает свой годовой взнос на основе следующим образом установленного числа единиц:</w:t>
        <w:br/>
      </w:r>
      <w:r/>
    </w:p>
    <w:p>
      <w:pPr>
        <w:pStyle w:val="834"/>
        <w:numPr>
          <w:ilvl w:val="0"/>
          <w:numId w:val="6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Класс I 25</w:t>
      </w:r>
      <w:r/>
    </w:p>
    <w:p>
      <w:pPr>
        <w:pStyle w:val="834"/>
        <w:numPr>
          <w:ilvl w:val="0"/>
          <w:numId w:val="6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Класс II 20</w:t>
      </w:r>
      <w:r/>
    </w:p>
    <w:p>
      <w:pPr>
        <w:pStyle w:val="834"/>
        <w:numPr>
          <w:ilvl w:val="0"/>
          <w:numId w:val="6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Класс III 15</w:t>
      </w:r>
      <w:r/>
    </w:p>
    <w:p>
      <w:pPr>
        <w:pStyle w:val="834"/>
        <w:numPr>
          <w:ilvl w:val="0"/>
          <w:numId w:val="6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Класс IV 10</w:t>
      </w:r>
      <w:r/>
    </w:p>
    <w:p>
      <w:pPr>
        <w:pStyle w:val="834"/>
        <w:numPr>
          <w:ilvl w:val="0"/>
          <w:numId w:val="6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Класс V 5</w:t>
      </w:r>
      <w:r/>
    </w:p>
    <w:p>
      <w:pPr>
        <w:pStyle w:val="834"/>
        <w:numPr>
          <w:ilvl w:val="0"/>
          <w:numId w:val="6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Класс VI 3</w:t>
      </w:r>
      <w:r/>
    </w:p>
    <w:p>
      <w:pPr>
        <w:pStyle w:val="834"/>
        <w:numPr>
          <w:ilvl w:val="0"/>
          <w:numId w:val="6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Класс VII 1</w:t>
      </w:r>
      <w:r/>
    </w:p>
    <w:p>
      <w:pPr>
        <w:pStyle w:val="834"/>
        <w:numPr>
          <w:ilvl w:val="0"/>
          <w:numId w:val="62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(b) Каждая страна, если она ранее этого не сделала, одновременно со сдачей на хранение ратификационной грамоты или акта о присоединении указывает класс, к которому она желает быть отнесенной. Любая страна может изменить класс. Если страна выбирает более ни</w:t>
      </w:r>
      <w:r>
        <w:rPr>
          <w:rFonts w:ascii="PT Sans" w:hAnsi="PT Sans" w:eastAsia="PT Sans" w:cs="PT Sans"/>
          <w:color w:val="262626"/>
          <w:sz w:val="24"/>
        </w:rPr>
        <w:t xml:space="preserve">зкий класс, она должна заявить об этом на очередной сессии Ассамблеи. Такое изменение вступает в действие с начала календарного года, следующего за указанной сессией.</w:t>
        <w:br/>
        <w:br/>
        <w:t xml:space="preserve">(c) Годовой взнос каждой страны равен сумме, относящейся так к общей сумме взносов в бюд</w:t>
      </w:r>
      <w:r>
        <w:rPr>
          <w:rFonts w:ascii="PT Sans" w:hAnsi="PT Sans" w:eastAsia="PT Sans" w:cs="PT Sans"/>
          <w:color w:val="262626"/>
          <w:sz w:val="24"/>
        </w:rPr>
        <w:t xml:space="preserve">жет Союза, подлежащих уплате всеми странами, как количество ее единиц относится к общему количеству единиц всех уплачивающих взносы стран.</w:t>
        <w:br/>
        <w:br/>
        <w:t xml:space="preserve">(d) Взносы причитаются к уплате с первого января каждого года.</w:t>
        <w:br/>
        <w:br/>
        <w:t xml:space="preserve">(e) Страна, у которой имеется задолженность по уплат</w:t>
      </w:r>
      <w:r>
        <w:rPr>
          <w:rFonts w:ascii="PT Sans" w:hAnsi="PT Sans" w:eastAsia="PT Sans" w:cs="PT Sans"/>
          <w:color w:val="262626"/>
          <w:sz w:val="24"/>
        </w:rPr>
        <w:t xml:space="preserve">е взносов, утрачивает право голоса во всех органах Союза, членом которых она является, если сумма ее задолженности равна или превышает сумму взносов, причитающихся с нее за два полных предыдущих года. Однако любой их этих органов может разрешить такой стра</w:t>
      </w:r>
      <w:r>
        <w:rPr>
          <w:rFonts w:ascii="PT Sans" w:hAnsi="PT Sans" w:eastAsia="PT Sans" w:cs="PT Sans"/>
          <w:color w:val="262626"/>
          <w:sz w:val="24"/>
        </w:rPr>
        <w:t xml:space="preserve">не продолжать пользоваться правом голоса, если и до тех пор, пока он убежден, что просрочка платежа произошла в результате исключительных и неизбежных обстоятельств.</w:t>
        <w:br/>
        <w:br/>
        <w:t xml:space="preserve">(f) В случае, когда бюджет не принят до начала нового финансового периода, то в соответст</w:t>
      </w:r>
      <w:r>
        <w:rPr>
          <w:rFonts w:ascii="PT Sans" w:hAnsi="PT Sans" w:eastAsia="PT Sans" w:cs="PT Sans"/>
          <w:color w:val="262626"/>
          <w:sz w:val="24"/>
        </w:rPr>
        <w:t xml:space="preserve">вии с порядком, предусмотренным финансовым регламентом, действует бюджет на уровне предыдущего года.</w:t>
        <w:br/>
      </w:r>
      <w:r/>
    </w:p>
    <w:p>
      <w:pPr>
        <w:pStyle w:val="834"/>
        <w:numPr>
          <w:ilvl w:val="0"/>
          <w:numId w:val="6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Размер сборов и платежей, причитающихся за услуги, предоставляемые Международным бюро от имени Союза, устанавливается Генеральным Директором, который докладывает об этом Ассамблее и Исполнительному комитету.</w:t>
        <w:br/>
      </w:r>
      <w:r/>
    </w:p>
    <w:p>
      <w:pPr>
        <w:pStyle w:val="834"/>
        <w:numPr>
          <w:ilvl w:val="0"/>
          <w:numId w:val="63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64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Союз имеет фонд оборотных средств, который составляется из разового платежа, вносимого каждой страной Союза. Если фонд оборотных средств становится недостаточным, Ассамблея решает вопрос о его увеличении.</w:t>
        <w:br/>
        <w:br/>
        <w:t xml:space="preserve">(b) Размер первоначального платежа каждой стра</w:t>
      </w:r>
      <w:r>
        <w:rPr>
          <w:rFonts w:ascii="PT Sans" w:hAnsi="PT Sans" w:eastAsia="PT Sans" w:cs="PT Sans"/>
          <w:color w:val="262626"/>
          <w:sz w:val="24"/>
        </w:rPr>
        <w:t xml:space="preserve">ны в упомянутый фонд или его доля в увеличении этого фонда пропорциональны взносу этой страны за тот год, в который образован фонд или принято решение о его увеличении.</w:t>
        <w:br/>
        <w:br/>
        <w:t xml:space="preserve">(c) Эта пропорция и условия платежа устанавливаются Ассамблеей по предложению Генераль</w:t>
      </w:r>
      <w:r>
        <w:rPr>
          <w:rFonts w:ascii="PT Sans" w:hAnsi="PT Sans" w:eastAsia="PT Sans" w:cs="PT Sans"/>
          <w:color w:val="262626"/>
          <w:sz w:val="24"/>
        </w:rPr>
        <w:t xml:space="preserve">ного Директора после того, как она заслушает мнение Координационного комитета Организации.</w:t>
      </w:r>
      <w:r/>
    </w:p>
    <w:p>
      <w:pPr>
        <w:pStyle w:val="834"/>
        <w:numPr>
          <w:ilvl w:val="0"/>
          <w:numId w:val="6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66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В соглашении о штаб-квартире, заключаемом со страной, на территории которой Организация имеет свою штаб-квартиру, предусматривается, что в случаях, когда фонд оборотных средств окажется недостаточным, эта страна предоставляет авансы. Сумма этих авансов</w:t>
      </w:r>
      <w:r>
        <w:rPr>
          <w:rFonts w:ascii="PT Sans" w:hAnsi="PT Sans" w:eastAsia="PT Sans" w:cs="PT Sans"/>
          <w:color w:val="262626"/>
          <w:sz w:val="24"/>
        </w:rPr>
        <w:t xml:space="preserve"> и условия, на которых они предоставляются, в каждом случае являются предметом особого соглашения между такой страной и Организацией. До тех пор пока такая страна связана обязательством предоставлять авансы, она по своему положению имеет одно место в Испол</w:t>
      </w:r>
      <w:r>
        <w:rPr>
          <w:rFonts w:ascii="PT Sans" w:hAnsi="PT Sans" w:eastAsia="PT Sans" w:cs="PT Sans"/>
          <w:color w:val="262626"/>
          <w:sz w:val="24"/>
        </w:rPr>
        <w:t xml:space="preserve">нительном комитете.</w:t>
        <w:br/>
        <w:br/>
        <w:t xml:space="preserve">(b) Как страна, упомянутая в подпункте (а), так и Организация имеют право путем письменного уведомления денонсировать обязательство о предоставлении авансов. Денонсация вступает в действие через три года после окончания того года, в ко</w:t>
      </w:r>
      <w:r>
        <w:rPr>
          <w:rFonts w:ascii="PT Sans" w:hAnsi="PT Sans" w:eastAsia="PT Sans" w:cs="PT Sans"/>
          <w:color w:val="262626"/>
          <w:sz w:val="24"/>
        </w:rPr>
        <w:t xml:space="preserve">торый было сделано уведомление.</w:t>
        <w:br/>
      </w:r>
      <w:r/>
    </w:p>
    <w:p>
      <w:pPr>
        <w:pStyle w:val="834"/>
        <w:numPr>
          <w:ilvl w:val="0"/>
          <w:numId w:val="6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Финансовая ревизия осуществляется в соответствии с правилами финансового регламента одной или несколькими странами Союза или внешними ревизорами, назначенными с их согласия Ассамблеей.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17.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[Поправки к статьям с 13 по 17]</w:t>
      </w:r>
      <w:r/>
    </w:p>
    <w:p>
      <w:pPr>
        <w:pStyle w:val="834"/>
        <w:numPr>
          <w:ilvl w:val="0"/>
          <w:numId w:val="6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Предложения о внесении поправок в статьи 13, 14, 15, 16 и настоящую статью могут быть сделаны любой страной - членом Ассамблеи, Исполнительным комитетом или Генеральным Директором. Такие предложения направляются Генеральным Директором странам - членам Асса</w:t>
      </w:r>
      <w:r>
        <w:rPr>
          <w:rFonts w:ascii="PT Sans" w:hAnsi="PT Sans" w:eastAsia="PT Sans" w:cs="PT Sans"/>
          <w:color w:val="262626"/>
          <w:sz w:val="24"/>
        </w:rPr>
        <w:t xml:space="preserve">мблеи по меньшей мере за шесть месяцев до рассмотрения их Ассамблеей.</w:t>
        <w:br/>
      </w:r>
      <w:r/>
    </w:p>
    <w:p>
      <w:pPr>
        <w:pStyle w:val="834"/>
        <w:numPr>
          <w:ilvl w:val="0"/>
          <w:numId w:val="6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Любая поправка к статьям, предусмотренным в пункте (1), принимается Ассамблеей, для чего требуется большинство в три четверти поданных голосов; однако любая поправка к статье 13 и данному пункту принимается большинством в четыре пятых поданных голосов.</w:t>
        <w:br/>
      </w:r>
      <w:r/>
    </w:p>
    <w:p>
      <w:pPr>
        <w:pStyle w:val="834"/>
        <w:numPr>
          <w:ilvl w:val="0"/>
          <w:numId w:val="6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Любая поправка к статьям, предусмотренным в пункте (1), вступает в силу через месяц после того, как письменные уведомления о ее принятии, осуществленном в соответствии с конституционной процедурой каждой страны, получены Генеральным Директором от трех четв</w:t>
      </w:r>
      <w:r>
        <w:rPr>
          <w:rFonts w:ascii="PT Sans" w:hAnsi="PT Sans" w:eastAsia="PT Sans" w:cs="PT Sans"/>
          <w:color w:val="262626"/>
          <w:sz w:val="24"/>
        </w:rPr>
        <w:t xml:space="preserve">ертей стран, которые состояли членами Ассамблеи во время принятия ею этой поправки. Любая поправка к указанным статьям, принятая таким образом, обязательна для всех стран, которые являются членами Ассамблеи во время вступления поправки в силу или которые с</w:t>
      </w:r>
      <w:r>
        <w:rPr>
          <w:rFonts w:ascii="PT Sans" w:hAnsi="PT Sans" w:eastAsia="PT Sans" w:cs="PT Sans"/>
          <w:color w:val="262626"/>
          <w:sz w:val="24"/>
        </w:rPr>
        <w:t xml:space="preserve">тановятся ее членами после этой даты; однако любая поправка, увеличивающая финансовые обязательства стран Союза, является обязательной только для тех стран, которые уведомили о принятии ими такой поправки.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18.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[Пересмотр статей с 1 по 12 и с 18 по 30]</w:t>
      </w:r>
      <w:r/>
    </w:p>
    <w:p>
      <w:pPr>
        <w:pStyle w:val="834"/>
        <w:numPr>
          <w:ilvl w:val="0"/>
          <w:numId w:val="6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Настоящая Конвенция может подвергаться пересмотру с целью внесения в нее изменений, предназначенных усовершенствовать систему Союза.</w:t>
        <w:br/>
      </w:r>
      <w:r/>
    </w:p>
    <w:p>
      <w:pPr>
        <w:pStyle w:val="834"/>
        <w:numPr>
          <w:ilvl w:val="0"/>
          <w:numId w:val="6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этих целях поочередно в странах Союза проводятся конференции представителей указанных стран.</w:t>
        <w:br/>
      </w:r>
      <w:r/>
    </w:p>
    <w:p>
      <w:pPr>
        <w:pStyle w:val="834"/>
        <w:numPr>
          <w:ilvl w:val="0"/>
          <w:numId w:val="6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Внесение поправок в статьи с 13 по 17 регулируется положениями статьи 17.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19.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[Специальные соглашения]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Подразумевается, что страны Союза оставляют за собой право заключать отдельно между собой специальные соглашения по охране промышленной собственности, если эти соглашения не противоречат положениям настоящей Конвенции.</w:t>
        <w:br/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20.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[Ратификация странами Союза или присоединение; вступление в силу]</w:t>
      </w:r>
      <w:r/>
    </w:p>
    <w:p>
      <w:pPr>
        <w:pStyle w:val="834"/>
        <w:numPr>
          <w:ilvl w:val="0"/>
          <w:numId w:val="7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71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Каждая страна Союза, которая подписала настоящий Акт, может ратифицировать его или, если она не подписала его, может присоединиться к нему. Ратификационные грамоты и акты о присоединении сдаются на хранение Генеральному Директору.</w:t>
      </w:r>
      <w:r/>
    </w:p>
    <w:p>
      <w:pPr>
        <w:pStyle w:val="834"/>
        <w:numPr>
          <w:ilvl w:val="0"/>
          <w:numId w:val="71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(b) Каждая страна Союза может заявить в своей ратификационной грамоте или акте о присоединении, что ратификация или присоединение не распространяется на:</w:t>
        <w:br/>
      </w:r>
      <w:r/>
    </w:p>
    <w:p>
      <w:pPr>
        <w:pStyle w:val="834"/>
        <w:numPr>
          <w:ilvl w:val="0"/>
          <w:numId w:val="71"/>
        </w:numPr>
        <w:ind w:right="0"/>
        <w:spacing w:befor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(i) статьи с 1 по 12 или</w:t>
        <w:br/>
        <w:t xml:space="preserve">(ii) статьи с 13 по 17.</w:t>
      </w:r>
      <w:r/>
    </w:p>
    <w:p>
      <w:pPr>
        <w:pStyle w:val="834"/>
        <w:numPr>
          <w:ilvl w:val="0"/>
          <w:numId w:val="71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(c) Каждая страна Союза, которая в соответствии с подпунктом</w:t>
        <w:br/>
        <w:br/>
        <w:t xml:space="preserve">(b) исключила одну из двух групп статей, указанных в этом подпункте, из сферы действия своей ратификации или присоединения, может позднее в любое время заявить, что она распространяет действие с</w:t>
      </w:r>
      <w:r>
        <w:rPr>
          <w:rFonts w:ascii="PT Sans" w:hAnsi="PT Sans" w:eastAsia="PT Sans" w:cs="PT Sans"/>
          <w:color w:val="262626"/>
          <w:sz w:val="24"/>
        </w:rPr>
        <w:t xml:space="preserve">воей ратификации или присоединения на эту группу статей. Такое заявление сдается на хранение Генеральному Директору.</w:t>
      </w:r>
      <w:r/>
    </w:p>
    <w:p>
      <w:pPr>
        <w:pStyle w:val="834"/>
        <w:numPr>
          <w:ilvl w:val="0"/>
          <w:numId w:val="7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73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Статьи с 1 по 12 вступают в силу в отношении первых десяти стран Союза, которые сдали на хранение ратификационное грамоты или акты о присоединении, не сделав заявления, предусмотренного пунктом (1) (b) (i), через три месяца после сдачи на хранение деся</w:t>
      </w:r>
      <w:r>
        <w:rPr>
          <w:rFonts w:ascii="PT Sans" w:hAnsi="PT Sans" w:eastAsia="PT Sans" w:cs="PT Sans"/>
          <w:color w:val="262626"/>
          <w:sz w:val="24"/>
        </w:rPr>
        <w:t xml:space="preserve">той ратификационной грамоты или акта о присоединении.</w:t>
        <w:br/>
        <w:br/>
        <w:t xml:space="preserve">(b) Статьи с 13 по 17 вступают в силу в отношении первых десяти стран Союза, которые сдали на хранение ратификационные грамоты или акты о присоединении, не сделав заявления, предусмотренного пунктом (1</w:t>
      </w:r>
      <w:r>
        <w:rPr>
          <w:rFonts w:ascii="PT Sans" w:hAnsi="PT Sans" w:eastAsia="PT Sans" w:cs="PT Sans"/>
          <w:color w:val="262626"/>
          <w:sz w:val="24"/>
        </w:rPr>
        <w:t xml:space="preserve">) (b) (ii), через три месяца после сдачи на хранение десятой ратификационной грамоты или акта о присоединении.</w:t>
        <w:br/>
        <w:br/>
        <w:t xml:space="preserve">(c) При условии первоначального вступления в силу согласно положениям подпунктов (а) и (b) каждой из двух групп статей, предусмотренных в пункте</w:t>
      </w:r>
      <w:r>
        <w:rPr>
          <w:rFonts w:ascii="PT Sans" w:hAnsi="PT Sans" w:eastAsia="PT Sans" w:cs="PT Sans"/>
          <w:color w:val="262626"/>
          <w:sz w:val="24"/>
        </w:rPr>
        <w:t xml:space="preserve"> (1) (b) (i) и (ii), а также при условии соблюдения положений пункта (1) (b), статьи с 1 по 17 вступают в силу в отношении любой страны Союза, сдающей на хранение ратификационную грамоту или акт о присоединении, кроме стран, указываемых в подпунктах (а) и </w:t>
      </w:r>
      <w:r>
        <w:rPr>
          <w:rFonts w:ascii="PT Sans" w:hAnsi="PT Sans" w:eastAsia="PT Sans" w:cs="PT Sans"/>
          <w:color w:val="262626"/>
          <w:sz w:val="24"/>
        </w:rPr>
        <w:t xml:space="preserve">(b), а также в отношении любой страны Союза, сдающей заявление в соответствии с пунктом (1) (с), через три месяца после даты уведомления Генеральным Директором о сдаче на хранение такого документа, если только в поданной грамоте, акте или заявлении не буде</w:t>
      </w:r>
      <w:r>
        <w:rPr>
          <w:rFonts w:ascii="PT Sans" w:hAnsi="PT Sans" w:eastAsia="PT Sans" w:cs="PT Sans"/>
          <w:color w:val="262626"/>
          <w:sz w:val="24"/>
        </w:rPr>
        <w:t xml:space="preserve">т указана более поздняя дата. В последнем случае настоящий Акт вступает в силу в отношении этой страны на указанную таким образом дату.</w:t>
        <w:br/>
      </w:r>
      <w:r/>
    </w:p>
    <w:p>
      <w:pPr>
        <w:pStyle w:val="834"/>
        <w:numPr>
          <w:ilvl w:val="0"/>
          <w:numId w:val="7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отношении любой страны Союза, которая сдает на хранение ратификационную грамоту или акт о присоединении, статьи с 18 по 30 вступают в силу на более раннюю из дат, на которую любая из групп статей, предусмотренных в пункте (1) (b), вступает в силу в отнош</w:t>
      </w:r>
      <w:r>
        <w:rPr>
          <w:rFonts w:ascii="PT Sans" w:hAnsi="PT Sans" w:eastAsia="PT Sans" w:cs="PT Sans"/>
          <w:color w:val="262626"/>
          <w:sz w:val="24"/>
        </w:rPr>
        <w:t xml:space="preserve">ении этой страны в соответствии с пунктом (2) (а), (b) или (с).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21.</w:t>
        <w:br/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[Присоединение стран, не являющихся членами Союза; вступление в силу]</w:t>
      </w:r>
      <w:r/>
    </w:p>
    <w:p>
      <w:pPr>
        <w:pStyle w:val="834"/>
        <w:numPr>
          <w:ilvl w:val="0"/>
          <w:numId w:val="7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Любая страна, не являющаяся членом Союза, может присоединиться к настоящему Акту и тем самым стать членом Союза. Акты о присоединении сдаются на хранение Генеральному Директору.</w:t>
        <w:br/>
      </w:r>
      <w:r/>
    </w:p>
    <w:p>
      <w:pPr>
        <w:pStyle w:val="834"/>
        <w:numPr>
          <w:ilvl w:val="0"/>
          <w:numId w:val="7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76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В отношении любой страны, не являющейся членом Союза, которая сдала на хранение свой акт о присоединении за месяц или более до даты вступления в силу положений настоящего Акта, этот Акт вступает в силу с той даты, с которой указанные положения первонач</w:t>
      </w:r>
      <w:r>
        <w:rPr>
          <w:rFonts w:ascii="PT Sans" w:hAnsi="PT Sans" w:eastAsia="PT Sans" w:cs="PT Sans"/>
          <w:color w:val="262626"/>
          <w:sz w:val="24"/>
        </w:rPr>
        <w:t xml:space="preserve">ально вступили в силу в соответствии со статьей 20 (2) (а) или (b), если только более поздняя дата не была указана в акте о присоединении, однако:</w:t>
        <w:br/>
      </w:r>
      <w:r/>
    </w:p>
    <w:p>
      <w:pPr>
        <w:pStyle w:val="834"/>
        <w:numPr>
          <w:ilvl w:val="0"/>
          <w:numId w:val="76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(i) если статьи с 1 по 12 не вступили в силу на эту дату, такая страна в период до вступления в силу этих положений и взамен их будет связана статьями с 1 по 12 Лиссабонского Акта;</w:t>
        <w:br/>
        <w:t xml:space="preserve">(ii) если статьи с 13 по 17 не вступили в силу на эту дату, такая страна в </w:t>
      </w:r>
      <w:r>
        <w:rPr>
          <w:rFonts w:ascii="PT Sans" w:hAnsi="PT Sans" w:eastAsia="PT Sans" w:cs="PT Sans"/>
          <w:color w:val="262626"/>
          <w:sz w:val="24"/>
        </w:rPr>
        <w:t xml:space="preserve">период до вступления в силу этих положений и взамен их будет связана статьями 13 и 14 (3), (4) и (5) Лиссабонского Акта. </w:t>
        <w:br/>
        <w:t xml:space="preserve">Если в акте о присоединении страна указывает более позднюю дату, настоящий Акт вступает в силу в отношении этой страны на указанную та</w:t>
      </w:r>
      <w:r>
        <w:rPr>
          <w:rFonts w:ascii="PT Sans" w:hAnsi="PT Sans" w:eastAsia="PT Sans" w:cs="PT Sans"/>
          <w:color w:val="262626"/>
          <w:sz w:val="24"/>
        </w:rPr>
        <w:t xml:space="preserve">ким образом дату.</w:t>
        <w:br/>
      </w:r>
      <w:r/>
    </w:p>
    <w:p>
      <w:pPr>
        <w:pStyle w:val="834"/>
        <w:numPr>
          <w:ilvl w:val="0"/>
          <w:numId w:val="76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(b) В отношении любой страны, не являющейся членом Союза, которая сдала на хранение свой акт о присоединении на дату, которая следует за вступлением в силу какой-либо группы статей настоящего Акта, или на дату, которая предшествует ему менее чем на один ме</w:t>
      </w:r>
      <w:r>
        <w:rPr>
          <w:rFonts w:ascii="PT Sans" w:hAnsi="PT Sans" w:eastAsia="PT Sans" w:cs="PT Sans"/>
          <w:color w:val="262626"/>
          <w:sz w:val="24"/>
        </w:rPr>
        <w:t xml:space="preserve">сяц, настоящий Акт вступает в силу, при соблюдении положений подпункта (а), через три месяца после даты, на которую о ее присоединении было сделано уведомление Генеральным Директором, если только в акте о присоединении не была указана более поздняя дата. В</w:t>
      </w:r>
      <w:r>
        <w:rPr>
          <w:rFonts w:ascii="PT Sans" w:hAnsi="PT Sans" w:eastAsia="PT Sans" w:cs="PT Sans"/>
          <w:color w:val="262626"/>
          <w:sz w:val="24"/>
        </w:rPr>
        <w:t xml:space="preserve"> последнем случае настоящий Акт вступает в силу в отношении этой страны на указанную таким образом дату.</w:t>
        <w:br/>
      </w:r>
      <w:r/>
    </w:p>
    <w:p>
      <w:pPr>
        <w:pStyle w:val="834"/>
        <w:numPr>
          <w:ilvl w:val="0"/>
          <w:numId w:val="77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отношении любой страны, не являющейся членом Союза, которая сдала на хранение акт о присоединении после даты вступления в силу настоящего Акта в полном объеме или менее чем за месяц до этой даты, настоящий Акт вступает в силу через три месяца после даты,</w:t>
      </w:r>
      <w:r>
        <w:rPr>
          <w:rFonts w:ascii="PT Sans" w:hAnsi="PT Sans" w:eastAsia="PT Sans" w:cs="PT Sans"/>
          <w:color w:val="262626"/>
          <w:sz w:val="24"/>
        </w:rPr>
        <w:t xml:space="preserve"> на которую о ее присоединении было сделано уведомление Генеральным Директором, если только в акте о присоединении не была указана более поздняя дата. В последнем случае настоящий Акт вступает в силу в отношении этой страны на указанную таким образом дату.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22.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[Последствия ратификации или присоединения]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За исключением допустимых изъятий, предусмотренных в статьях 20 (1) (b) и 28 (2), ратификация или присоединение автоматически влекут за собой признание всех положений и получение всех преимуществ, устанавливаемых настоящим Актом.</w:t>
        <w:br/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23.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[Присоединение к предшествующим Актам]</w:t>
      </w:r>
      <w:r/>
    </w:p>
    <w:p>
      <w:pPr>
        <w:ind w:left="0" w:right="0" w:firstLine="0"/>
        <w:spacing w:before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После вступления в силу настоящего Акта в полном объеме страна не может присоединиться к предшествующим Актам настоящей Конвенции.</w:t>
        <w:br/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24.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[Территории]</w:t>
      </w:r>
      <w:r/>
    </w:p>
    <w:p>
      <w:pPr>
        <w:pStyle w:val="834"/>
        <w:numPr>
          <w:ilvl w:val="0"/>
          <w:numId w:val="7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Любая страна может заявить в своей ратификационной грамоте или акте о присоединении или в любое последующее время направить Генеральному Директору письменное уведомление о том, что настоящая Конвенция применяется ко всем или некоторым территориям, указанны</w:t>
      </w:r>
      <w:r>
        <w:rPr>
          <w:rFonts w:ascii="PT Sans" w:hAnsi="PT Sans" w:eastAsia="PT Sans" w:cs="PT Sans"/>
          <w:color w:val="262626"/>
          <w:sz w:val="24"/>
        </w:rPr>
        <w:t xml:space="preserve">м в заявлении или уведомлении, за международные отношения которых она несет ответственность.</w:t>
        <w:br/>
      </w:r>
      <w:r/>
    </w:p>
    <w:p>
      <w:pPr>
        <w:pStyle w:val="834"/>
        <w:numPr>
          <w:ilvl w:val="0"/>
          <w:numId w:val="7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Любая страна, которая сделала такое заявление или направила такое уведомление, может в любое время уведомить Генерального Директора о прекращении применения настоящей Конвенции ко всем или к некоторым из таких территорий.</w:t>
        <w:br/>
      </w:r>
      <w:r/>
    </w:p>
    <w:p>
      <w:pPr>
        <w:pStyle w:val="834"/>
        <w:numPr>
          <w:ilvl w:val="0"/>
          <w:numId w:val="7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79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Всякое заявление, сделанное в соответствии с пунктом (1), вступает в силу с той же даты, что и ратификация или присоединение, документы о которых включали это заявление, а всякое уведомление, направленное в соответствии с упомянутым пунктом, вступает в</w:t>
      </w:r>
      <w:r>
        <w:rPr>
          <w:rFonts w:ascii="PT Sans" w:hAnsi="PT Sans" w:eastAsia="PT Sans" w:cs="PT Sans"/>
          <w:color w:val="262626"/>
          <w:sz w:val="24"/>
        </w:rPr>
        <w:t xml:space="preserve"> силу через три месяца после извещения о нем, сделанного Генеральным Директором.</w:t>
        <w:br/>
        <w:t xml:space="preserve">(b) Всякое уведомление, направленное в соответствии с пунктом (2), вступает в силу через двенадцать месяцев после получения его Генеральным Директором.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25.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[Применение Конвенции в национальных рамках]</w:t>
      </w:r>
      <w:r/>
    </w:p>
    <w:p>
      <w:pPr>
        <w:pStyle w:val="834"/>
        <w:numPr>
          <w:ilvl w:val="0"/>
          <w:numId w:val="8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Каждая страна, являющаяся участницей настоящей Конвенции, обязуется принять в соответствии со своей Конституцией необходимые меры для обеспечения применения настоящей Конвенции.</w:t>
        <w:br/>
      </w:r>
      <w:r/>
    </w:p>
    <w:p>
      <w:pPr>
        <w:pStyle w:val="834"/>
        <w:numPr>
          <w:ilvl w:val="0"/>
          <w:numId w:val="80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Подразумевается, что каждая страна в момент сдачи на хранение ратификационной грамоты или акта о присоединении должна быть в состоянии в соответствии со своим внутренним законодательством осуществлять положения настоящей Конвенции.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26.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[Денонсация]</w:t>
      </w:r>
      <w:r/>
    </w:p>
    <w:p>
      <w:pPr>
        <w:pStyle w:val="834"/>
        <w:numPr>
          <w:ilvl w:val="0"/>
          <w:numId w:val="8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Настоящая Конвенция действует без ограничения срока.</w:t>
        <w:br/>
      </w:r>
      <w:r/>
    </w:p>
    <w:p>
      <w:pPr>
        <w:pStyle w:val="834"/>
        <w:numPr>
          <w:ilvl w:val="0"/>
          <w:numId w:val="8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Любая страна может денонсировать настоящий акт путем уведомления, направленного Генеральному Директору. Такая денонсация является также денонсацией всех предшествующих Актов и распространяется только на страну, которая ее сделала, в то время как в отношени</w:t>
      </w:r>
      <w:r>
        <w:rPr>
          <w:rFonts w:ascii="PT Sans" w:hAnsi="PT Sans" w:eastAsia="PT Sans" w:cs="PT Sans"/>
          <w:color w:val="262626"/>
          <w:sz w:val="24"/>
        </w:rPr>
        <w:t xml:space="preserve">и остальных стран Союза Конвенция остается в силе и подлежит выполнению.</w:t>
        <w:br/>
      </w:r>
      <w:r/>
    </w:p>
    <w:p>
      <w:pPr>
        <w:pStyle w:val="834"/>
        <w:numPr>
          <w:ilvl w:val="0"/>
          <w:numId w:val="8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Денонсация вступает в силу через год, считая со дня получения уведомления Генеральным Директором.</w:t>
        <w:br/>
      </w:r>
      <w:r/>
    </w:p>
    <w:p>
      <w:pPr>
        <w:pStyle w:val="834"/>
        <w:numPr>
          <w:ilvl w:val="0"/>
          <w:numId w:val="81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Предусмотренное настоящей статьей право денонсации не может быть использовано никакой страной до истечения пяти лет, считая с даты, на которую она стала членом Союза.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27.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[Применение предшествующих Актов]</w:t>
      </w:r>
      <w:r/>
    </w:p>
    <w:p>
      <w:pPr>
        <w:pStyle w:val="834"/>
        <w:numPr>
          <w:ilvl w:val="0"/>
          <w:numId w:val="8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Настоящий Акт заменяет в отношениях между странами, к которым он применяется, и в той мере, в какой он применяется, Парижскую конвенцию от 20 марта 1883 года и последующие Акты по ее пересмотру.</w:t>
        <w:br/>
      </w:r>
      <w:r/>
    </w:p>
    <w:p>
      <w:pPr>
        <w:pStyle w:val="834"/>
        <w:numPr>
          <w:ilvl w:val="0"/>
          <w:numId w:val="82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83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Что касается стран, к которым настоящий Акт не применяется или применяется не в полном объеме, но к которым применяется Лиссабонский Акт от 31 октября 1958 года, последний остается в силе либо в полном объеме, либо в тех пределах, в которых настоящий А</w:t>
      </w:r>
      <w:r>
        <w:rPr>
          <w:rFonts w:ascii="PT Sans" w:hAnsi="PT Sans" w:eastAsia="PT Sans" w:cs="PT Sans"/>
          <w:color w:val="262626"/>
          <w:sz w:val="24"/>
        </w:rPr>
        <w:t xml:space="preserve">кт не заменяет его в силу пункта (1).</w:t>
        <w:br/>
        <w:br/>
        <w:t xml:space="preserve">(b) Равным образом, что касается стран, к которым не применяется ни настоящий Акт, ни какая-либо его часть, ни Лиссабонский Акт, остается в силе Лондонский Акт от 2 июня 1934 года либо в полном объеме, либо в тех пред</w:t>
      </w:r>
      <w:r>
        <w:rPr>
          <w:rFonts w:ascii="PT Sans" w:hAnsi="PT Sans" w:eastAsia="PT Sans" w:cs="PT Sans"/>
          <w:color w:val="262626"/>
          <w:sz w:val="24"/>
        </w:rPr>
        <w:t xml:space="preserve">елах, в которых настоящий Акт не заменяет его в силу пункта (1).</w:t>
        <w:br/>
        <w:t xml:space="preserve">(c) Равным образом, что касается стран, к которым не применяется ни настоящий Акт, ни какая-либо его часть, ни Лиссабонский Акт, ни Лондонский Акт, остается в силе Гаагский Акт от 6 ноября 19</w:t>
      </w:r>
      <w:r>
        <w:rPr>
          <w:rFonts w:ascii="PT Sans" w:hAnsi="PT Sans" w:eastAsia="PT Sans" w:cs="PT Sans"/>
          <w:color w:val="262626"/>
          <w:sz w:val="24"/>
        </w:rPr>
        <w:t xml:space="preserve">25 года либо в полном объеме, либо в тех пределах, в которых настоящий Акт не заменяет его в силу пункта (1).</w:t>
        <w:br/>
      </w:r>
      <w:r/>
    </w:p>
    <w:p>
      <w:pPr>
        <w:pStyle w:val="834"/>
        <w:numPr>
          <w:ilvl w:val="0"/>
          <w:numId w:val="84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Страны, не являющиеся членами Союза, которые присоединяются к настоящему Акту, применяют его в отношениях с любой страной Союза, которая не является стороной настоящего Акта или которая, являясь стороной настоящего Акта, сделала заявление, предусматриваемо</w:t>
      </w:r>
      <w:r>
        <w:rPr>
          <w:rFonts w:ascii="PT Sans" w:hAnsi="PT Sans" w:eastAsia="PT Sans" w:cs="PT Sans"/>
          <w:color w:val="262626"/>
          <w:sz w:val="24"/>
        </w:rPr>
        <w:t xml:space="preserve">е статьей 20 (1) (b) (i). Такие страны признают, что упомянутая страна Союза может применять в своих отношениях с ними положения последнего предшествующего Акта, стороной которого она является.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28.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[Разрешение споров]</w:t>
      </w:r>
      <w:r/>
    </w:p>
    <w:p>
      <w:pPr>
        <w:pStyle w:val="834"/>
        <w:numPr>
          <w:ilvl w:val="0"/>
          <w:numId w:val="8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Любой спор между двумя или несколькими странами Союза, касающийся толкования или применения настоящей Конвенции, не разрешенный путем переговоров, может быть передан любой из указанных стран в Международный суд путем подачи заявления в соответствии со Стат</w:t>
      </w:r>
      <w:r>
        <w:rPr>
          <w:rFonts w:ascii="PT Sans" w:hAnsi="PT Sans" w:eastAsia="PT Sans" w:cs="PT Sans"/>
          <w:color w:val="262626"/>
          <w:sz w:val="24"/>
        </w:rPr>
        <w:t xml:space="preserve">усом Суда, если только указанные страны не договорятся о другом способе урегулирования спора. Страна, которая подает заявление, должна сообщить Международному бюро о споре, переданном на рассмотрение Суда; Международное бюро должно поставить об этом в изве</w:t>
      </w:r>
      <w:r>
        <w:rPr>
          <w:rFonts w:ascii="PT Sans" w:hAnsi="PT Sans" w:eastAsia="PT Sans" w:cs="PT Sans"/>
          <w:color w:val="262626"/>
          <w:sz w:val="24"/>
        </w:rPr>
        <w:t xml:space="preserve">стность остальные страны Союза.</w:t>
        <w:br/>
      </w:r>
      <w:r/>
    </w:p>
    <w:p>
      <w:pPr>
        <w:pStyle w:val="834"/>
        <w:numPr>
          <w:ilvl w:val="0"/>
          <w:numId w:val="8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В момент подписания настоящего Акта или сдачи на хранение ратификационной грамоты или акта о присоединении любая страна может заявить, что она не считает себя связанной положениями пункта (1). Что касается споров между такой страной и другими странами Союз</w:t>
      </w:r>
      <w:r>
        <w:rPr>
          <w:rFonts w:ascii="PT Sans" w:hAnsi="PT Sans" w:eastAsia="PT Sans" w:cs="PT Sans"/>
          <w:color w:val="262626"/>
          <w:sz w:val="24"/>
        </w:rPr>
        <w:t xml:space="preserve">а, то положения пункта (1) на них не распространяются.</w:t>
        <w:br/>
      </w:r>
      <w:r/>
    </w:p>
    <w:p>
      <w:pPr>
        <w:pStyle w:val="834"/>
        <w:numPr>
          <w:ilvl w:val="0"/>
          <w:numId w:val="85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Любая страна, сделавшая заявление в соответствии с положениями пункта (2), может в любое время отозвать его путем уведомления, направленного Генеральному Директору.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29.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[Подписание, языки, функции депозитария]</w:t>
      </w:r>
      <w:r/>
    </w:p>
    <w:p>
      <w:pPr>
        <w:pStyle w:val="834"/>
        <w:numPr>
          <w:ilvl w:val="0"/>
          <w:numId w:val="86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 </w:t>
      </w:r>
      <w:r/>
    </w:p>
    <w:p>
      <w:pPr>
        <w:pStyle w:val="834"/>
        <w:numPr>
          <w:ilvl w:val="0"/>
          <w:numId w:val="87"/>
        </w:numPr>
        <w:ind w:right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(a) Настоящий Акт подписывается в одном экземпляре на французском языке и сдается на хранение Правительству Швеции.</w:t>
        <w:br/>
        <w:br/>
        <w:t xml:space="preserve">(b) Официальные тексты вырабатываются Генеральным Директором, после консультации с заинтересованными правительствами, на английском, испанс</w:t>
      </w:r>
      <w:r>
        <w:rPr>
          <w:rFonts w:ascii="PT Sans" w:hAnsi="PT Sans" w:eastAsia="PT Sans" w:cs="PT Sans"/>
          <w:color w:val="262626"/>
          <w:sz w:val="24"/>
        </w:rPr>
        <w:t xml:space="preserve">ком, итальянском, немецком, португальском и русском языках, а также на других языках, которые определит Ассамблея.</w:t>
        <w:br/>
        <w:br/>
        <w:t xml:space="preserve">(c) В случае разногласий в толковании различных текстов предпочтение отдается французскому тексту.</w:t>
        <w:br/>
      </w:r>
      <w:r/>
    </w:p>
    <w:p>
      <w:pPr>
        <w:pStyle w:val="834"/>
        <w:numPr>
          <w:ilvl w:val="0"/>
          <w:numId w:val="8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Настоящий Акт открыт для подписания в Стокгольме до 13 января 1968 года.</w:t>
        <w:br/>
      </w:r>
      <w:r/>
    </w:p>
    <w:p>
      <w:pPr>
        <w:pStyle w:val="834"/>
        <w:numPr>
          <w:ilvl w:val="0"/>
          <w:numId w:val="8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Генеральный Директор направляет две копии подписанного текста настоящего Акта, должным образом заверенные Правительством Швеции, правительствам всех стран Союза и, по запросу, правительству любой другой страны.</w:t>
        <w:br/>
      </w:r>
      <w:r/>
    </w:p>
    <w:p>
      <w:pPr>
        <w:pStyle w:val="834"/>
        <w:numPr>
          <w:ilvl w:val="0"/>
          <w:numId w:val="8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Генеральный Директор зарегистрирует настоящий Акт в Секретариате Организации Объединенных Наций.</w:t>
        <w:br/>
      </w:r>
      <w:r/>
    </w:p>
    <w:p>
      <w:pPr>
        <w:pStyle w:val="834"/>
        <w:numPr>
          <w:ilvl w:val="0"/>
          <w:numId w:val="88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Генеральный Директор уведомляет правительства всех стран Союза о подписаниях, сдаче на хранение ратификационных грамот и актов о присоединении и о заявлениях, содержащихся в этих документах или сделанных в соответствии со статьей 20 (1) (с), о вступлении в</w:t>
      </w:r>
      <w:r>
        <w:rPr>
          <w:rFonts w:ascii="PT Sans" w:hAnsi="PT Sans" w:eastAsia="PT Sans" w:cs="PT Sans"/>
          <w:color w:val="262626"/>
          <w:sz w:val="24"/>
        </w:rPr>
        <w:t xml:space="preserve"> силу любых положений настоящего Акта, уведомления о денонсации и уведомлениях, направленных в соответствии со статьей 24.</w:t>
      </w:r>
      <w:r/>
    </w:p>
    <w:p>
      <w:pPr>
        <w:pStyle w:val="658"/>
        <w:ind w:left="0" w:right="0" w:firstLine="0"/>
        <w:jc w:val="center"/>
        <w:spacing w:before="225" w:after="7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single" w:color="0A3E63" w:sz="18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9"/>
        </w:rPr>
        <w:t xml:space="preserve">Статья 30.</w:t>
      </w:r>
      <w:r/>
    </w:p>
    <w:p>
      <w:pPr>
        <w:pStyle w:val="660"/>
        <w:ind w:left="0" w:right="0" w:firstLine="0"/>
        <w:jc w:val="center"/>
        <w:spacing w:before="225" w:after="225" w:line="68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b/>
          <w:color w:val="0a3e63"/>
          <w:sz w:val="27"/>
        </w:rPr>
        <w:t xml:space="preserve">[Переходные положения]</w:t>
      </w:r>
      <w:r/>
    </w:p>
    <w:p>
      <w:pPr>
        <w:pStyle w:val="834"/>
        <w:numPr>
          <w:ilvl w:val="0"/>
          <w:numId w:val="8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До вступления в должность первого Генерального Директора ссылки в настоящем Акте на Международное бюро Организации или на Генерального Директора считаются ссылками на Бюро Союза или на его Директора соответственно.</w:t>
        <w:br/>
      </w:r>
      <w:r/>
    </w:p>
    <w:p>
      <w:pPr>
        <w:pStyle w:val="834"/>
        <w:numPr>
          <w:ilvl w:val="0"/>
          <w:numId w:val="8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Страны Союза, которые не связаны статьями с 13 по 17, могут в течение пяти лет после вступления в силу Конвенции, учреждающей Организацию, пользоваться, если они этого пожелают, правами, предоставляемыми в силу статей с 13 по 17 настоящего Акта, как если б</w:t>
      </w:r>
      <w:r>
        <w:rPr>
          <w:rFonts w:ascii="PT Sans" w:hAnsi="PT Sans" w:eastAsia="PT Sans" w:cs="PT Sans"/>
          <w:color w:val="262626"/>
          <w:sz w:val="24"/>
        </w:rPr>
        <w:t xml:space="preserve">ы они были связаны этими статьями. Любая страна, желающая пользоваться такими правами, направляет с этой целью Генеральному Директору письменное уведомление, которое вступает в действие с даты его получения. Такие страны считаются членами Ассамблеи до исте</w:t>
      </w:r>
      <w:r>
        <w:rPr>
          <w:rFonts w:ascii="PT Sans" w:hAnsi="PT Sans" w:eastAsia="PT Sans" w:cs="PT Sans"/>
          <w:color w:val="262626"/>
          <w:sz w:val="24"/>
        </w:rPr>
        <w:t xml:space="preserve">чения указанного срока.</w:t>
        <w:br/>
      </w:r>
      <w:r/>
    </w:p>
    <w:p>
      <w:pPr>
        <w:pStyle w:val="834"/>
        <w:numPr>
          <w:ilvl w:val="0"/>
          <w:numId w:val="8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До тех пор, пока не все страны Союза стали членами Организации, Международное бюро Организации функционирует также в качестве Бюро Союза, а Генеральный директор действует также в качестве Директора этого Бюро.</w:t>
        <w:br/>
      </w:r>
      <w:r/>
    </w:p>
    <w:p>
      <w:pPr>
        <w:pStyle w:val="834"/>
        <w:numPr>
          <w:ilvl w:val="0"/>
          <w:numId w:val="89"/>
        </w:numPr>
        <w:ind w:right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PT Sans" w:hAnsi="PT Sans" w:eastAsia="PT Sans" w:cs="PT Sans"/>
          <w:color w:val="262626"/>
          <w:sz w:val="24"/>
        </w:rPr>
        <w:t xml:space="preserve">Как только все страны Союза становятся членами Организации, права, обязанности и имущество Бюро Союза переходят к Международному бюро Организации.</w:t>
      </w:r>
      <w:r/>
    </w:p>
    <w:p>
      <w:pPr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Arial">
    <w:panose1 w:val="020B0604020202020204"/>
  </w:font>
  <w:font w:name="PT Sans">
    <w:panose1 w:val="020B0604020202020204"/>
  </w:font>
  <w:font w:name="Liberation Sans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5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5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6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7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29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31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3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33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35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37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39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41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42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4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46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4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48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4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50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51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5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53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5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55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56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5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58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5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60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62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64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66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67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68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69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7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71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73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74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7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76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77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79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80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81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8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83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84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85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262626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262626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262626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262626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262626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262626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262626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262626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262626"/>
        <w:sz w:val="24"/>
      </w:rPr>
    </w:lvl>
  </w:abstractNum>
  <w:abstractNum w:abstractNumId="87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abstractNum w:abstractNumId="88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PT Sans" w:hAnsi="PT Sans" w:eastAsia="PT Sans" w:cs="PT Sans"/>
        <w:color w:val="262626"/>
        <w:sz w:val="24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0"/>
    <w:next w:val="830"/>
    <w:uiPriority w:val="9"/>
    <w:qFormat/>
    <w:pPr>
      <w:keepLines/>
      <w:keepNext/>
      <w:spacing w:before="480" w:after="200"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655">
    <w:name w:val="Heading 1 Char"/>
    <w:link w:val="654"/>
    <w:uiPriority w:val="9"/>
    <w:rPr>
      <w:rFonts w:ascii="Liberation Sans" w:hAnsi="Liberation Sans" w:eastAsia="Liberation Sans" w:cs="Liberation Sans"/>
    </w:rPr>
  </w:style>
  <w:style w:type="paragraph" w:styleId="656">
    <w:name w:val="Heading 2"/>
    <w:basedOn w:val="654"/>
    <w:next w:val="830"/>
    <w:link w:val="657"/>
    <w:uiPriority w:val="9"/>
    <w:unhideWhenUsed/>
    <w:qFormat/>
    <w:rPr>
      <w:rFonts w:ascii="Liberation Sans" w:hAnsi="Liberation Sans" w:eastAsia="Liberation Sans" w:cs="Liberation Sans"/>
    </w:rPr>
  </w:style>
  <w:style w:type="character" w:styleId="657">
    <w:name w:val="Heading 2 Char"/>
    <w:link w:val="656"/>
    <w:uiPriority w:val="9"/>
    <w:rPr>
      <w:rFonts w:ascii="Liberation Sans" w:hAnsi="Liberation Sans" w:eastAsia="Liberation Sans" w:cs="Liberation Sans"/>
      <w:sz w:val="34"/>
    </w:rPr>
  </w:style>
  <w:style w:type="paragraph" w:styleId="658">
    <w:name w:val="Heading 3"/>
    <w:basedOn w:val="830"/>
    <w:next w:val="830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Arial" w:cs="Liberation Sans"/>
      <w:sz w:val="30"/>
      <w:szCs w:val="30"/>
    </w:rPr>
  </w:style>
  <w:style w:type="character" w:styleId="659">
    <w:name w:val="Heading 3 Char"/>
    <w:link w:val="658"/>
    <w:uiPriority w:val="9"/>
    <w:rPr>
      <w:rFonts w:ascii="Liberation Sans" w:hAnsi="Liberation Sans" w:cs="Liberation Sans"/>
    </w:rPr>
  </w:style>
  <w:style w:type="paragraph" w:styleId="660">
    <w:name w:val="Heading 4"/>
    <w:basedOn w:val="830"/>
    <w:next w:val="830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661">
    <w:name w:val="Heading 4 Char"/>
    <w:link w:val="660"/>
    <w:uiPriority w:val="9"/>
    <w:rPr>
      <w:rFonts w:ascii="Liberation Sans" w:hAnsi="Liberation Sans" w:eastAsia="Liberation Sans" w:cs="Liberation Sans"/>
    </w:rPr>
  </w:style>
  <w:style w:type="paragraph" w:styleId="662">
    <w:name w:val="Heading 5"/>
    <w:basedOn w:val="830"/>
    <w:next w:val="830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663">
    <w:name w:val="Heading 5 Char"/>
    <w:link w:val="662"/>
    <w:uiPriority w:val="9"/>
    <w:rPr>
      <w:rFonts w:ascii="Liberation Sans" w:hAnsi="Liberation Sans" w:eastAsia="Liberation Sans" w:cs="Liberation Sans"/>
    </w:rPr>
  </w:style>
  <w:style w:type="paragraph" w:styleId="664">
    <w:name w:val="Heading 6"/>
    <w:basedOn w:val="830"/>
    <w:next w:val="830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665">
    <w:name w:val="Heading 6 Char"/>
    <w:link w:val="664"/>
    <w:uiPriority w:val="9"/>
    <w:rPr>
      <w:rFonts w:ascii="Liberation Sans" w:hAnsi="Liberation Sans" w:eastAsia="Liberation Sans" w:cs="Liberation Sans"/>
    </w:rPr>
  </w:style>
  <w:style w:type="paragraph" w:styleId="666">
    <w:name w:val="Heading 7"/>
    <w:basedOn w:val="830"/>
    <w:next w:val="830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667">
    <w:name w:val="Heading 7 Char"/>
    <w:link w:val="666"/>
    <w:uiPriority w:val="9"/>
    <w:rPr>
      <w:rFonts w:ascii="Liberation Sans" w:hAnsi="Liberation Sans" w:eastAsia="Liberation Sans" w:cs="Liberation Sans"/>
    </w:rPr>
  </w:style>
  <w:style w:type="paragraph" w:styleId="668">
    <w:name w:val="Heading 8"/>
    <w:basedOn w:val="830"/>
    <w:next w:val="830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669">
    <w:name w:val="Heading 8 Char"/>
    <w:link w:val="668"/>
    <w:uiPriority w:val="9"/>
    <w:rPr>
      <w:rFonts w:ascii="Liberation Sans" w:hAnsi="Liberation Sans" w:eastAsia="Liberation Sans" w:cs="Liberation Sans"/>
    </w:rPr>
  </w:style>
  <w:style w:type="paragraph" w:styleId="670">
    <w:name w:val="Heading 9"/>
    <w:basedOn w:val="830"/>
    <w:next w:val="830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671">
    <w:name w:val="Heading 9 Char"/>
    <w:link w:val="670"/>
    <w:uiPriority w:val="9"/>
    <w:rPr>
      <w:rFonts w:ascii="Liberation Sans" w:hAnsi="Liberation Sans" w:eastAsia="Liberation Sans" w:cs="Liberation Sans"/>
    </w:rPr>
  </w:style>
  <w:style w:type="paragraph" w:styleId="672">
    <w:name w:val="Title"/>
    <w:basedOn w:val="830"/>
    <w:next w:val="830"/>
    <w:link w:val="67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3">
    <w:name w:val="Title Char"/>
    <w:link w:val="672"/>
    <w:uiPriority w:val="10"/>
    <w:rPr>
      <w:sz w:val="48"/>
      <w:szCs w:val="48"/>
    </w:rPr>
  </w:style>
  <w:style w:type="paragraph" w:styleId="674">
    <w:name w:val="Subtitle"/>
    <w:basedOn w:val="830"/>
    <w:next w:val="830"/>
    <w:link w:val="675"/>
    <w:uiPriority w:val="11"/>
    <w:qFormat/>
    <w:pPr>
      <w:spacing w:before="200" w:after="200"/>
    </w:pPr>
    <w:rPr>
      <w:sz w:val="24"/>
      <w:szCs w:val="24"/>
    </w:rPr>
  </w:style>
  <w:style w:type="character" w:styleId="675">
    <w:name w:val="Subtitle Char"/>
    <w:link w:val="674"/>
    <w:uiPriority w:val="11"/>
    <w:rPr>
      <w:sz w:val="24"/>
      <w:szCs w:val="24"/>
    </w:rPr>
  </w:style>
  <w:style w:type="paragraph" w:styleId="676">
    <w:name w:val="Quote"/>
    <w:basedOn w:val="830"/>
    <w:next w:val="830"/>
    <w:link w:val="677"/>
    <w:uiPriority w:val="29"/>
    <w:qFormat/>
    <w:pPr>
      <w:ind w:left="720" w:right="720"/>
    </w:pPr>
    <w:rPr>
      <w:i/>
    </w:rPr>
  </w:style>
  <w:style w:type="character" w:styleId="677">
    <w:name w:val="Quote Char"/>
    <w:link w:val="676"/>
    <w:uiPriority w:val="29"/>
    <w:rPr>
      <w:i/>
    </w:rPr>
  </w:style>
  <w:style w:type="paragraph" w:styleId="678">
    <w:name w:val="Intense Quote"/>
    <w:basedOn w:val="830"/>
    <w:next w:val="830"/>
    <w:link w:val="67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79">
    <w:name w:val="Intense Quote Char"/>
    <w:link w:val="678"/>
    <w:uiPriority w:val="30"/>
    <w:rPr>
      <w:i/>
    </w:rPr>
  </w:style>
  <w:style w:type="paragraph" w:styleId="680">
    <w:name w:val="Header"/>
    <w:basedOn w:val="830"/>
    <w:link w:val="68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1">
    <w:name w:val="Header Char"/>
    <w:link w:val="680"/>
    <w:uiPriority w:val="99"/>
  </w:style>
  <w:style w:type="paragraph" w:styleId="682">
    <w:name w:val="Footer"/>
    <w:basedOn w:val="830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Footer Char"/>
    <w:link w:val="682"/>
    <w:uiPriority w:val="99"/>
  </w:style>
  <w:style w:type="paragraph" w:styleId="684">
    <w:name w:val="Caption"/>
    <w:basedOn w:val="830"/>
    <w:next w:val="83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5">
    <w:name w:val="Caption Char"/>
    <w:basedOn w:val="684"/>
    <w:link w:val="682"/>
    <w:uiPriority w:val="99"/>
  </w:style>
  <w:style w:type="table" w:styleId="686">
    <w:name w:val="Table Grid"/>
    <w:basedOn w:val="8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7">
    <w:name w:val="Table Grid Light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8">
    <w:name w:val="Plain Table 1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9">
    <w:name w:val="Plain Table 2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1">
    <w:name w:val="Plain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2">
    <w:name w:val="Plain Table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3">
    <w:name w:val="Grid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Grid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5">
    <w:name w:val="Grid Table 4 - Accent 1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6">
    <w:name w:val="Grid Table 4 - Accent 2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7">
    <w:name w:val="Grid Table 4 - Accent 3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8">
    <w:name w:val="Grid Table 4 - Accent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19">
    <w:name w:val="Grid Table 4 - Accent 5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0">
    <w:name w:val="Grid Table 4 - Accent 6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1">
    <w:name w:val="Grid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2">
    <w:name w:val="Grid Table 5 Dark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3">
    <w:name w:val="Grid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5">
    <w:name w:val="Grid Table 5 Dark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8">
    <w:name w:val="Grid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29">
    <w:name w:val="Grid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0">
    <w:name w:val="Grid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1">
    <w:name w:val="Grid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2">
    <w:name w:val="Grid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3">
    <w:name w:val="Grid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4">
    <w:name w:val="Grid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List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0">
    <w:name w:val="List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1">
    <w:name w:val="List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2">
    <w:name w:val="List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3">
    <w:name w:val="List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4">
    <w:name w:val="List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5">
    <w:name w:val="List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6">
    <w:name w:val="List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1">
    <w:name w:val="List Table 5 Dark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8">
    <w:name w:val="List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79">
    <w:name w:val="List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List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1">
    <w:name w:val="List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List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3">
    <w:name w:val="List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4">
    <w:name w:val="List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5">
    <w:name w:val="List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6">
    <w:name w:val="List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7">
    <w:name w:val="List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8">
    <w:name w:val="List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89">
    <w:name w:val="List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0">
    <w:name w:val="List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1">
    <w:name w:val="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2">
    <w:name w:val="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3">
    <w:name w:val="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4">
    <w:name w:val="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5">
    <w:name w:val="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6">
    <w:name w:val="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7">
    <w:name w:val="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8">
    <w:name w:val="Bordered &amp; 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9">
    <w:name w:val="Bordered &amp; 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0">
    <w:name w:val="Bordered &amp; 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1">
    <w:name w:val="Bordered &amp; 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2">
    <w:name w:val="Bordered &amp; 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3">
    <w:name w:val="Bordered &amp; 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4">
    <w:name w:val="Bordered &amp; 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5">
    <w:name w:val="Bordered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6">
    <w:name w:val="Bordered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7">
    <w:name w:val="Bordered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8">
    <w:name w:val="Bordered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09">
    <w:name w:val="Bordered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0">
    <w:name w:val="Bordered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1">
    <w:name w:val="Bordered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2">
    <w:name w:val="Hyperlink"/>
    <w:uiPriority w:val="99"/>
    <w:unhideWhenUsed/>
    <w:rPr>
      <w:color w:val="0000ff" w:themeColor="hyperlink"/>
      <w:u w:val="single"/>
    </w:rPr>
  </w:style>
  <w:style w:type="paragraph" w:styleId="813">
    <w:name w:val="footnote text"/>
    <w:basedOn w:val="830"/>
    <w:link w:val="814"/>
    <w:uiPriority w:val="99"/>
    <w:semiHidden/>
    <w:unhideWhenUsed/>
    <w:pPr>
      <w:spacing w:after="40" w:line="240" w:lineRule="auto"/>
    </w:pPr>
    <w:rPr>
      <w:sz w:val="18"/>
    </w:rPr>
  </w:style>
  <w:style w:type="character" w:styleId="814">
    <w:name w:val="Footnote Text Char"/>
    <w:link w:val="813"/>
    <w:uiPriority w:val="99"/>
    <w:rPr>
      <w:sz w:val="18"/>
    </w:rPr>
  </w:style>
  <w:style w:type="character" w:styleId="815">
    <w:name w:val="footnote reference"/>
    <w:uiPriority w:val="99"/>
    <w:unhideWhenUsed/>
    <w:rPr>
      <w:vertAlign w:val="superscript"/>
    </w:rPr>
  </w:style>
  <w:style w:type="paragraph" w:styleId="816">
    <w:name w:val="endnote text"/>
    <w:basedOn w:val="830"/>
    <w:link w:val="817"/>
    <w:uiPriority w:val="99"/>
    <w:semiHidden/>
    <w:unhideWhenUsed/>
    <w:pPr>
      <w:spacing w:after="0" w:line="240" w:lineRule="auto"/>
    </w:pPr>
    <w:rPr>
      <w:sz w:val="20"/>
    </w:rPr>
  </w:style>
  <w:style w:type="character" w:styleId="817">
    <w:name w:val="Endnote Text Char"/>
    <w:link w:val="816"/>
    <w:uiPriority w:val="99"/>
    <w:rPr>
      <w:sz w:val="20"/>
    </w:rPr>
  </w:style>
  <w:style w:type="character" w:styleId="818">
    <w:name w:val="endnote reference"/>
    <w:uiPriority w:val="99"/>
    <w:semiHidden/>
    <w:unhideWhenUsed/>
    <w:rPr>
      <w:vertAlign w:val="superscript"/>
    </w:rPr>
  </w:style>
  <w:style w:type="paragraph" w:styleId="819">
    <w:name w:val="toc 1"/>
    <w:basedOn w:val="830"/>
    <w:next w:val="830"/>
    <w:uiPriority w:val="39"/>
    <w:unhideWhenUsed/>
    <w:pPr>
      <w:ind w:left="0" w:right="0" w:firstLine="0"/>
      <w:spacing w:after="57"/>
    </w:pPr>
  </w:style>
  <w:style w:type="paragraph" w:styleId="820">
    <w:name w:val="toc 2"/>
    <w:basedOn w:val="830"/>
    <w:next w:val="830"/>
    <w:uiPriority w:val="39"/>
    <w:unhideWhenUsed/>
    <w:pPr>
      <w:ind w:left="283" w:right="0" w:firstLine="0"/>
      <w:spacing w:after="57"/>
    </w:pPr>
  </w:style>
  <w:style w:type="paragraph" w:styleId="821">
    <w:name w:val="toc 3"/>
    <w:basedOn w:val="830"/>
    <w:next w:val="830"/>
    <w:uiPriority w:val="39"/>
    <w:unhideWhenUsed/>
    <w:pPr>
      <w:ind w:left="567" w:right="0" w:firstLine="0"/>
      <w:spacing w:after="57"/>
    </w:pPr>
  </w:style>
  <w:style w:type="paragraph" w:styleId="822">
    <w:name w:val="toc 4"/>
    <w:basedOn w:val="830"/>
    <w:next w:val="830"/>
    <w:uiPriority w:val="39"/>
    <w:unhideWhenUsed/>
    <w:pPr>
      <w:ind w:left="850" w:right="0" w:firstLine="0"/>
      <w:spacing w:after="57"/>
    </w:pPr>
  </w:style>
  <w:style w:type="paragraph" w:styleId="823">
    <w:name w:val="toc 5"/>
    <w:basedOn w:val="830"/>
    <w:next w:val="830"/>
    <w:uiPriority w:val="39"/>
    <w:unhideWhenUsed/>
    <w:pPr>
      <w:ind w:left="1134" w:right="0" w:firstLine="0"/>
      <w:spacing w:after="57"/>
    </w:pPr>
  </w:style>
  <w:style w:type="paragraph" w:styleId="824">
    <w:name w:val="toc 6"/>
    <w:basedOn w:val="830"/>
    <w:next w:val="830"/>
    <w:uiPriority w:val="39"/>
    <w:unhideWhenUsed/>
    <w:pPr>
      <w:ind w:left="1417" w:right="0" w:firstLine="0"/>
      <w:spacing w:after="57"/>
    </w:pPr>
  </w:style>
  <w:style w:type="paragraph" w:styleId="825">
    <w:name w:val="toc 7"/>
    <w:basedOn w:val="830"/>
    <w:next w:val="830"/>
    <w:uiPriority w:val="39"/>
    <w:unhideWhenUsed/>
    <w:pPr>
      <w:ind w:left="1701" w:right="0" w:firstLine="0"/>
      <w:spacing w:after="57"/>
    </w:pPr>
  </w:style>
  <w:style w:type="paragraph" w:styleId="826">
    <w:name w:val="toc 8"/>
    <w:basedOn w:val="830"/>
    <w:next w:val="830"/>
    <w:uiPriority w:val="39"/>
    <w:unhideWhenUsed/>
    <w:pPr>
      <w:ind w:left="1984" w:right="0" w:firstLine="0"/>
      <w:spacing w:after="57"/>
    </w:pPr>
  </w:style>
  <w:style w:type="paragraph" w:styleId="827">
    <w:name w:val="toc 9"/>
    <w:basedOn w:val="830"/>
    <w:next w:val="830"/>
    <w:uiPriority w:val="39"/>
    <w:unhideWhenUsed/>
    <w:pPr>
      <w:ind w:left="2268" w:right="0" w:firstLine="0"/>
      <w:spacing w:after="57"/>
    </w:pPr>
  </w:style>
  <w:style w:type="paragraph" w:styleId="828">
    <w:name w:val="TOC Heading"/>
    <w:uiPriority w:val="39"/>
    <w:unhideWhenUsed/>
  </w:style>
  <w:style w:type="paragraph" w:styleId="829">
    <w:name w:val="table of figures"/>
    <w:basedOn w:val="830"/>
    <w:next w:val="830"/>
    <w:uiPriority w:val="99"/>
    <w:unhideWhenUsed/>
    <w:pPr>
      <w:spacing w:after="0" w:afterAutospacing="0"/>
    </w:pPr>
  </w:style>
  <w:style w:type="paragraph" w:styleId="830" w:default="1">
    <w:name w:val="Normal"/>
    <w:qFormat/>
    <w:rPr>
      <w:rFonts w:ascii="Liberation Sans" w:hAnsi="Liberation Sans" w:eastAsia="Liberation Sans" w:cs="Liberation Sans"/>
      <w:sz w:val="20"/>
      <w:szCs w:val="20"/>
    </w:rPr>
  </w:style>
  <w:style w:type="table" w:styleId="83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2" w:default="1">
    <w:name w:val="No List"/>
    <w:uiPriority w:val="99"/>
    <w:semiHidden/>
    <w:unhideWhenUsed/>
  </w:style>
  <w:style w:type="paragraph" w:styleId="833">
    <w:name w:val="No Spacing"/>
    <w:basedOn w:val="830"/>
    <w:uiPriority w:val="1"/>
    <w:qFormat/>
    <w:pPr>
      <w:spacing w:after="0" w:line="240" w:lineRule="auto"/>
    </w:pPr>
  </w:style>
  <w:style w:type="paragraph" w:styleId="834">
    <w:name w:val="List Paragraph"/>
    <w:basedOn w:val="830"/>
    <w:uiPriority w:val="34"/>
    <w:qFormat/>
    <w:pPr>
      <w:contextualSpacing/>
      <w:ind w:left="720"/>
    </w:pPr>
  </w:style>
  <w:style w:type="character" w:styleId="835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Анастасия Никитина</cp:lastModifiedBy>
  <cp:revision>2</cp:revision>
  <dcterms:modified xsi:type="dcterms:W3CDTF">2025-08-27T12:49:20Z</dcterms:modified>
</cp:coreProperties>
</file>